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IVBEbertitel"/>
        <w:spacing w:before="120" w:after="0" w:line="240" w:lineRule="auto"/>
      </w:pPr>
      <w:r>
        <w:br/>
        <w:t>Guide pratique</w:t>
      </w:r>
    </w:p>
    <w:p>
      <w:pPr>
        <w:pStyle w:val="IVBEbertitel"/>
        <w:spacing w:after="360"/>
        <w:rPr>
          <w:b/>
        </w:rPr>
      </w:pPr>
      <w:r>
        <w:rPr>
          <w:b/>
        </w:rPr>
        <w:t>Modèles de rapport de l’Office AI Canton de Berne</w:t>
      </w:r>
    </w:p>
    <w:p>
      <w:pPr>
        <w:pStyle w:val="IVBETitel"/>
        <w:spacing w:before="840" w:after="360"/>
      </w:pPr>
      <w:r>
        <w:t>Remarques d’ordre général</w:t>
      </w:r>
    </w:p>
    <w:p>
      <w:pPr>
        <w:pStyle w:val="IVBEUntertitel"/>
        <w:spacing w:before="360"/>
      </w:pPr>
      <w:r>
        <w:t>Destination</w:t>
      </w:r>
    </w:p>
    <w:p>
      <w:r>
        <w:t>Les fournisseurs de prestations utilisent les modèles de rapports pour toutes les mesures décidées par l’Office AI Canton de Berne afin de documenter les objectifs, le déroulement et les résultats des mesures et de présenter la marche à suivre.</w:t>
      </w:r>
    </w:p>
    <w:p>
      <w:pPr>
        <w:pStyle w:val="IVBEUntertitel"/>
        <w:spacing w:before="360"/>
      </w:pPr>
      <w:r>
        <w:t>Classement</w:t>
      </w:r>
    </w:p>
    <w:p>
      <w:pPr>
        <w:pStyle w:val="IVBETextNormal"/>
      </w:pPr>
      <w:r>
        <w:t xml:space="preserve">Le guide pratique et les modèles de rapport sont disponibles sur le </w:t>
      </w:r>
      <w:hyperlink r:id="rId8" w:history="1">
        <w:r>
          <w:rPr>
            <w:rStyle w:val="Hyperlink"/>
          </w:rPr>
          <w:t>site Internet de l’Office AI Canton de Berne</w:t>
        </w:r>
      </w:hyperlink>
      <w:r>
        <w:t xml:space="preserve">. Le classement est réparti en deux niveaux de structuration. </w:t>
      </w:r>
    </w:p>
    <w:tbl>
      <w:tblPr>
        <w:tblStyle w:val="Tabellenraster"/>
        <w:tblW w:w="0" w:type="auto"/>
        <w:tblLook w:val="04A0" w:firstRow="1" w:lastRow="0" w:firstColumn="1" w:lastColumn="0" w:noHBand="0" w:noVBand="1"/>
      </w:tblPr>
      <w:tblGrid>
        <w:gridCol w:w="1413"/>
        <w:gridCol w:w="8159"/>
      </w:tblGrid>
      <w:tr>
        <w:trPr>
          <w:cantSplit/>
          <w:tblHeader/>
        </w:trPr>
        <w:tc>
          <w:tcPr>
            <w:tcW w:w="1413" w:type="dxa"/>
          </w:tcPr>
          <w:p>
            <w:pPr>
              <w:pStyle w:val="IVBETextNormal"/>
              <w:spacing w:before="120" w:after="120"/>
              <w:rPr>
                <w:b/>
              </w:rPr>
            </w:pPr>
            <w:r>
              <w:rPr>
                <w:b/>
              </w:rPr>
              <w:t>Niveau 1</w:t>
            </w:r>
          </w:p>
        </w:tc>
        <w:tc>
          <w:tcPr>
            <w:tcW w:w="8159" w:type="dxa"/>
          </w:tcPr>
          <w:p>
            <w:pPr>
              <w:pStyle w:val="IVBETextNormal"/>
              <w:spacing w:before="120" w:after="120"/>
              <w:rPr>
                <w:b/>
              </w:rPr>
            </w:pPr>
            <w:r>
              <w:rPr>
                <w:b/>
              </w:rPr>
              <w:t xml:space="preserve">Niveau 2 </w:t>
            </w:r>
          </w:p>
        </w:tc>
      </w:tr>
      <w:tr>
        <w:trPr>
          <w:cantSplit/>
          <w:trHeight w:val="3890"/>
        </w:trPr>
        <w:tc>
          <w:tcPr>
            <w:tcW w:w="1413" w:type="dxa"/>
          </w:tcPr>
          <w:p>
            <w:pPr>
              <w:pStyle w:val="IVBETextNormal"/>
              <w:spacing w:before="120" w:after="120"/>
            </w:pPr>
            <w:r>
              <w:t xml:space="preserve">Coaching </w:t>
            </w:r>
          </w:p>
        </w:tc>
        <w:tc>
          <w:tcPr>
            <w:tcW w:w="8159" w:type="dxa"/>
          </w:tcPr>
          <w:p>
            <w:pPr>
              <w:pStyle w:val="IVBEAufzhlung"/>
              <w:spacing w:before="120" w:after="120"/>
            </w:pPr>
            <w:hyperlink r:id="rId9" w:history="1">
              <w:r>
                <w:rPr>
                  <w:rStyle w:val="Hyperlink"/>
                </w:rPr>
                <w:t>Coaching pour recherche et accompagnement de stages</w:t>
              </w:r>
            </w:hyperlink>
          </w:p>
          <w:p>
            <w:pPr>
              <w:pStyle w:val="IVBEAufzhlung"/>
              <w:spacing w:before="120" w:after="120"/>
            </w:pPr>
            <w:hyperlink r:id="rId10" w:history="1">
              <w:r>
                <w:rPr>
                  <w:rStyle w:val="Hyperlink"/>
                </w:rPr>
                <w:t>Coaching pour recherche de places d’apprentissage ou d`emploi</w:t>
              </w:r>
            </w:hyperlink>
          </w:p>
          <w:p>
            <w:pPr>
              <w:pStyle w:val="IVBEAufzhlung"/>
              <w:spacing w:before="120" w:after="120"/>
            </w:pPr>
            <w:hyperlink r:id="rId11" w:history="1">
              <w:r>
                <w:rPr>
                  <w:rStyle w:val="Hyperlink"/>
                </w:rPr>
                <w:t>Coaching pour recherche d’une place de travail temporaire</w:t>
              </w:r>
            </w:hyperlink>
          </w:p>
          <w:p>
            <w:pPr>
              <w:pStyle w:val="IVBEAufzhlung"/>
              <w:spacing w:before="120" w:after="120"/>
            </w:pPr>
            <w:hyperlink r:id="rId12" w:history="1">
              <w:r>
                <w:rPr>
                  <w:rStyle w:val="Hyperlink"/>
                </w:rPr>
                <w:t>Coaching durant une observation professionnelle</w:t>
              </w:r>
            </w:hyperlink>
          </w:p>
          <w:p>
            <w:pPr>
              <w:pStyle w:val="IVBEAufzhlung"/>
              <w:spacing w:before="120" w:after="120"/>
              <w:rPr>
                <w:rStyle w:val="Hyperlink"/>
                <w:color w:val="auto"/>
                <w:u w:val="none"/>
              </w:rPr>
            </w:pPr>
            <w:hyperlink r:id="rId13" w:history="1">
              <w:r>
                <w:rPr>
                  <w:rStyle w:val="Hyperlink"/>
                </w:rPr>
                <w:t>Coaching durant une mesure de réinsertion</w:t>
              </w:r>
            </w:hyperlink>
          </w:p>
          <w:p>
            <w:pPr>
              <w:pStyle w:val="IVBEAufzhlung"/>
              <w:spacing w:before="120" w:after="120"/>
              <w:rPr>
                <w:rStyle w:val="Hyperlink"/>
                <w:color w:val="auto"/>
                <w:u w:val="none"/>
              </w:rPr>
            </w:pPr>
            <w:hyperlink r:id="rId14" w:history="1">
              <w:r>
                <w:rPr>
                  <w:rStyle w:val="Hyperlink"/>
                </w:rPr>
                <w:t>Coaching pour la préparation à une formation</w:t>
              </w:r>
            </w:hyperlink>
          </w:p>
          <w:p>
            <w:pPr>
              <w:pStyle w:val="IVBEAufzhlung"/>
            </w:pPr>
            <w:hyperlink r:id="rId15" w:history="1">
              <w:r>
                <w:rPr>
                  <w:rStyle w:val="Hyperlink"/>
                </w:rPr>
                <w:t>Coaching durant une formation</w:t>
              </w:r>
            </w:hyperlink>
          </w:p>
          <w:p>
            <w:pPr>
              <w:pStyle w:val="IVBEAufzhlung"/>
              <w:spacing w:before="120" w:after="120"/>
            </w:pPr>
            <w:hyperlink r:id="rId16" w:history="1">
              <w:r>
                <w:rPr>
                  <w:rStyle w:val="Hyperlink"/>
                </w:rPr>
                <w:t>Coaching durant un placement à l’essai</w:t>
              </w:r>
            </w:hyperlink>
          </w:p>
          <w:p>
            <w:pPr>
              <w:pStyle w:val="IVBEAufzhlung"/>
              <w:spacing w:before="120" w:after="120"/>
            </w:pPr>
            <w:hyperlink r:id="rId17" w:history="1">
              <w:r>
                <w:rPr>
                  <w:rStyle w:val="Hyperlink"/>
                </w:rPr>
                <w:t>Coaching durant la période de mise au courant d'un emploi fixe</w:t>
              </w:r>
            </w:hyperlink>
          </w:p>
          <w:p>
            <w:pPr>
              <w:pStyle w:val="IVBEAufzhlung"/>
              <w:spacing w:before="120" w:after="120"/>
            </w:pPr>
            <w:hyperlink r:id="rId18" w:history="1">
              <w:r>
                <w:rPr>
                  <w:rStyle w:val="Hyperlink"/>
                </w:rPr>
                <w:t>Coaching pour maintien du poste de travail</w:t>
              </w:r>
            </w:hyperlink>
          </w:p>
          <w:p>
            <w:pPr>
              <w:pStyle w:val="IVBEAufzhlung"/>
            </w:pPr>
            <w:hyperlink r:id="rId19" w:history="1">
              <w:r>
                <w:rPr>
                  <w:rStyle w:val="Hyperlink"/>
                </w:rPr>
                <w:t>Coaching pour le logement</w:t>
              </w:r>
            </w:hyperlink>
            <w:r>
              <w:t xml:space="preserve"> </w:t>
            </w:r>
          </w:p>
          <w:p>
            <w:pPr>
              <w:pStyle w:val="IVBEAufzhlung"/>
              <w:numPr>
                <w:ilvl w:val="0"/>
                <w:numId w:val="0"/>
              </w:numPr>
              <w:ind w:left="227"/>
            </w:pPr>
          </w:p>
        </w:tc>
      </w:tr>
      <w:tr>
        <w:trPr>
          <w:cantSplit/>
        </w:trPr>
        <w:tc>
          <w:tcPr>
            <w:tcW w:w="1413" w:type="dxa"/>
          </w:tcPr>
          <w:p>
            <w:pPr>
              <w:pStyle w:val="IVBETextNormal"/>
              <w:spacing w:before="120" w:after="120"/>
            </w:pPr>
            <w:r>
              <w:t xml:space="preserve">Instruction de la </w:t>
            </w:r>
            <w:r>
              <w:br/>
              <w:t>demande</w:t>
            </w:r>
          </w:p>
        </w:tc>
        <w:tc>
          <w:tcPr>
            <w:tcW w:w="8159" w:type="dxa"/>
          </w:tcPr>
          <w:p>
            <w:pPr>
              <w:pStyle w:val="IVBEAufzhlung"/>
              <w:spacing w:before="120" w:after="120"/>
              <w:rPr>
                <w:rStyle w:val="Hyperlink"/>
              </w:rPr>
            </w:pPr>
            <w:r>
              <w:fldChar w:fldCharType="begin"/>
            </w:r>
            <w:r>
              <w:instrText xml:space="preserve"> HYPERLINK "https://www.ivbe.ch/dam/jcr:23c11e67-47b7-4140-956e-55fd9d9b3db6/Bilan%20des%20potentiels%20professionnel%20et%20m%C3%A9dical%20BPM.dotx" </w:instrText>
            </w:r>
            <w:r>
              <w:fldChar w:fldCharType="separate"/>
            </w:r>
            <w:r>
              <w:rPr>
                <w:rStyle w:val="Hyperlink"/>
              </w:rPr>
              <w:t>Bilan des potentiels professionnel et médical (BPM)</w:t>
            </w:r>
          </w:p>
          <w:p>
            <w:pPr>
              <w:pStyle w:val="IVBEAufzhlung"/>
              <w:spacing w:before="120" w:after="120"/>
              <w:rPr>
                <w:rStyle w:val="Hyperlink"/>
              </w:rPr>
            </w:pPr>
            <w:r>
              <w:fldChar w:fldCharType="end"/>
            </w:r>
            <w:r>
              <w:t xml:space="preserve"> </w:t>
            </w:r>
            <w:r>
              <w:fldChar w:fldCharType="begin"/>
            </w:r>
            <w:r>
              <w:instrText xml:space="preserve"> HYPERLINK "https://www.ivbe.ch/dam/jcr:02a0da32-9c22-4ad8-bcd5-626877d07e86/Observation%20professionnelle%20en%20institution.dotx" </w:instrText>
            </w:r>
            <w:r>
              <w:fldChar w:fldCharType="separate"/>
            </w:r>
            <w:r>
              <w:rPr>
                <w:rStyle w:val="Hyperlink"/>
              </w:rPr>
              <w:t>Observation professionnelle en institution</w:t>
            </w:r>
          </w:p>
          <w:p>
            <w:pPr>
              <w:pStyle w:val="IVBEAufzhlung"/>
              <w:numPr>
                <w:ilvl w:val="0"/>
                <w:numId w:val="0"/>
              </w:numPr>
              <w:spacing w:before="120" w:after="120"/>
            </w:pPr>
            <w:r>
              <w:fldChar w:fldCharType="end"/>
            </w:r>
          </w:p>
        </w:tc>
      </w:tr>
      <w:tr>
        <w:trPr>
          <w:cantSplit/>
        </w:trPr>
        <w:tc>
          <w:tcPr>
            <w:tcW w:w="1413" w:type="dxa"/>
          </w:tcPr>
          <w:p>
            <w:pPr>
              <w:pStyle w:val="IVBETextNormal"/>
              <w:spacing w:before="120" w:after="120"/>
            </w:pPr>
            <w:r>
              <w:t>Mesures</w:t>
            </w:r>
            <w:r>
              <w:br/>
              <w:t xml:space="preserve">de réinsertion </w:t>
            </w:r>
          </w:p>
        </w:tc>
        <w:tc>
          <w:tcPr>
            <w:tcW w:w="8159" w:type="dxa"/>
          </w:tcPr>
          <w:p>
            <w:pPr>
              <w:pStyle w:val="IVBEAufzhlung"/>
            </w:pPr>
            <w:hyperlink r:id="rId20" w:history="1">
              <w:r>
                <w:rPr>
                  <w:rStyle w:val="Hyperlink"/>
                </w:rPr>
                <w:t>Mesure de réinsertion dans l`institution</w:t>
              </w:r>
            </w:hyperlink>
          </w:p>
        </w:tc>
      </w:tr>
      <w:tr>
        <w:trPr>
          <w:cantSplit/>
        </w:trPr>
        <w:tc>
          <w:tcPr>
            <w:tcW w:w="1413" w:type="dxa"/>
          </w:tcPr>
          <w:p>
            <w:pPr>
              <w:pStyle w:val="IVBETextNormal"/>
              <w:spacing w:before="120" w:after="120"/>
            </w:pPr>
            <w:r>
              <w:lastRenderedPageBreak/>
              <w:t xml:space="preserve">Formation </w:t>
            </w:r>
          </w:p>
        </w:tc>
        <w:tc>
          <w:tcPr>
            <w:tcW w:w="8159" w:type="dxa"/>
          </w:tcPr>
          <w:p>
            <w:pPr>
              <w:pStyle w:val="IVBEAufzhlung"/>
              <w:rPr>
                <w:rStyle w:val="Hyperlink"/>
              </w:rPr>
            </w:pPr>
            <w:r>
              <w:fldChar w:fldCharType="begin"/>
            </w:r>
            <w:r>
              <w:instrText xml:space="preserve"> HYPERLINK "https://www.ivbe.ch/dam/jcr:ffc5ba24-cd45-499d-b58e-32fccf2471fe/1-Pr%C3%A9paration%20%C3%A0%20une%20formation%20(dans%20l%60institution).docx" </w:instrText>
            </w:r>
            <w:r>
              <w:fldChar w:fldCharType="separate"/>
            </w:r>
            <w:r>
              <w:rPr>
                <w:rStyle w:val="Hyperlink"/>
              </w:rPr>
              <w:t>Préparation à une formation</w:t>
            </w:r>
          </w:p>
          <w:p>
            <w:pPr>
              <w:pStyle w:val="IVBEAufzhlung"/>
              <w:spacing w:before="120" w:after="120"/>
              <w:rPr>
                <w:rStyle w:val="Hyperlink"/>
              </w:rPr>
            </w:pPr>
            <w:r>
              <w:fldChar w:fldCharType="end"/>
            </w:r>
            <w:r>
              <w:fldChar w:fldCharType="begin"/>
            </w:r>
            <w:r>
              <w:instrText xml:space="preserve"> HYPERLINK "https://www.ivbe.ch/dam/jcr:276febec-3c3b-472e-bc76-f38b5eb691d5/Formation%20dans%20l%60institution.dotx" </w:instrText>
            </w:r>
            <w:r>
              <w:fldChar w:fldCharType="separate"/>
            </w:r>
            <w:r>
              <w:rPr>
                <w:rStyle w:val="Hyperlink"/>
              </w:rPr>
              <w:t>Formation dans l’institution</w:t>
            </w:r>
          </w:p>
          <w:p>
            <w:pPr>
              <w:pStyle w:val="IVBEAufzhlung"/>
              <w:spacing w:before="120" w:after="120"/>
            </w:pPr>
            <w:r>
              <w:fldChar w:fldCharType="end"/>
            </w:r>
            <w:hyperlink r:id="rId21" w:history="1">
              <w:r>
                <w:rPr>
                  <w:rStyle w:val="Hyperlink"/>
                </w:rPr>
                <w:t>Rapport de formation</w:t>
              </w:r>
            </w:hyperlink>
            <w:r>
              <w:rPr>
                <w:rStyle w:val="Hyperlink"/>
              </w:rPr>
              <w:t xml:space="preserve"> </w:t>
            </w:r>
            <w:r>
              <w:t>(formulaire utilisable de manière facultative)</w:t>
            </w:r>
          </w:p>
          <w:p>
            <w:pPr>
              <w:pStyle w:val="IVBEAufzhlung"/>
              <w:spacing w:before="120" w:after="120"/>
            </w:pPr>
            <w:hyperlink r:id="rId22" w:history="1">
              <w:r>
                <w:rPr>
                  <w:rStyle w:val="Hyperlink"/>
                </w:rPr>
                <w:t>Stage de découverte dans l’institution</w:t>
              </w:r>
            </w:hyperlink>
            <w:r>
              <w:t xml:space="preserve"> (formulaire utilisable de manière facultative)</w:t>
            </w:r>
          </w:p>
          <w:p>
            <w:pPr>
              <w:pStyle w:val="IVBEAufzhlung"/>
              <w:spacing w:before="120" w:after="120"/>
            </w:pPr>
            <w:hyperlink r:id="rId23" w:history="1">
              <w:r>
                <w:rPr>
                  <w:rStyle w:val="Hyperlink"/>
                </w:rPr>
                <w:t>Rapport de stage durant la formation dans l’institution</w:t>
              </w:r>
            </w:hyperlink>
            <w:r>
              <w:t xml:space="preserve"> (formulaire utilisable de manière facultative)</w:t>
            </w:r>
          </w:p>
          <w:p>
            <w:pPr>
              <w:pStyle w:val="IVBEAufzhlung"/>
            </w:pPr>
            <w:hyperlink r:id="rId24" w:history="1">
              <w:r>
                <w:rPr>
                  <w:rStyle w:val="Hyperlink"/>
                </w:rPr>
                <w:t>Questionnaire stage de découverte</w:t>
              </w:r>
            </w:hyperlink>
          </w:p>
          <w:p>
            <w:pPr>
              <w:pStyle w:val="IVBEAufzhlung"/>
              <w:numPr>
                <w:ilvl w:val="0"/>
                <w:numId w:val="0"/>
              </w:numPr>
              <w:ind w:left="227" w:hanging="227"/>
            </w:pPr>
          </w:p>
          <w:p>
            <w:pPr>
              <w:pStyle w:val="IVBEAufzhlung"/>
            </w:pPr>
            <w:hyperlink r:id="rId25" w:history="1">
              <w:r>
                <w:rPr>
                  <w:rStyle w:val="Hyperlink"/>
                </w:rPr>
                <w:t>Rapport du responsable du stage de découverte</w:t>
              </w:r>
            </w:hyperlink>
          </w:p>
          <w:p>
            <w:pPr>
              <w:pStyle w:val="IVBEAufzhlung"/>
              <w:numPr>
                <w:ilvl w:val="0"/>
                <w:numId w:val="0"/>
              </w:numPr>
              <w:ind w:left="227"/>
            </w:pPr>
          </w:p>
        </w:tc>
      </w:tr>
      <w:tr>
        <w:trPr>
          <w:cantSplit/>
        </w:trPr>
        <w:tc>
          <w:tcPr>
            <w:tcW w:w="1413" w:type="dxa"/>
          </w:tcPr>
          <w:p>
            <w:pPr>
              <w:pStyle w:val="IVBETextNormal"/>
              <w:spacing w:before="120" w:after="120"/>
            </w:pPr>
            <w:r>
              <w:t xml:space="preserve">Logement </w:t>
            </w:r>
          </w:p>
        </w:tc>
        <w:tc>
          <w:tcPr>
            <w:tcW w:w="8159" w:type="dxa"/>
          </w:tcPr>
          <w:p>
            <w:pPr>
              <w:pStyle w:val="IVBEAufzhlung"/>
              <w:spacing w:before="120" w:after="120"/>
            </w:pPr>
            <w:hyperlink r:id="rId26" w:history="1">
              <w:r>
                <w:rPr>
                  <w:rStyle w:val="Hyperlink"/>
                </w:rPr>
                <w:t>Rapport sur le logement</w:t>
              </w:r>
            </w:hyperlink>
          </w:p>
        </w:tc>
      </w:tr>
    </w:tbl>
    <w:p>
      <w:pPr>
        <w:pStyle w:val="IVBETitel"/>
        <w:spacing w:before="840" w:after="360"/>
      </w:pPr>
      <w:r>
        <w:t>Formes du rapport, délais et types de transmission</w:t>
      </w:r>
    </w:p>
    <w:p>
      <w:pPr>
        <w:pStyle w:val="IVBEUntertitel"/>
        <w:spacing w:before="360"/>
      </w:pPr>
      <w:r>
        <w:t>Formes du rapport</w:t>
      </w:r>
    </w:p>
    <w:p>
      <w:pPr>
        <w:pStyle w:val="IVBETextNormal"/>
      </w:pPr>
      <w:r>
        <w:t>Nous distinguons entre les trois formes de rapport «provisoire», «définitif» et «rapport intermédiaire sur demande».</w:t>
      </w:r>
    </w:p>
    <w:p>
      <w:pPr>
        <w:pStyle w:val="IVBETextNormal"/>
        <w:spacing w:before="240" w:after="120"/>
        <w:rPr>
          <w:b/>
        </w:rPr>
      </w:pPr>
      <w:r>
        <w:rPr>
          <w:b/>
        </w:rPr>
        <w:t>Rapports provisoires</w:t>
      </w:r>
    </w:p>
    <w:p>
      <w:pPr>
        <w:pStyle w:val="IVBETextNormal"/>
      </w:pPr>
      <w:r>
        <w:t>Les spécialistes compétents de l’Office AI Canton de Berne utilisent les rapports provisoires afin de préparer les entretiens de bilan planifiés. Ils ne sont pas intégrés dans le dossier de l’AI.</w:t>
      </w:r>
    </w:p>
    <w:p>
      <w:pPr>
        <w:pStyle w:val="IVBETextNormal"/>
        <w:spacing w:before="240" w:after="120"/>
        <w:rPr>
          <w:b/>
        </w:rPr>
      </w:pPr>
      <w:r>
        <w:rPr>
          <w:b/>
        </w:rPr>
        <w:t>Rapports définitifs</w:t>
      </w:r>
    </w:p>
    <w:p>
      <w:pPr>
        <w:pStyle w:val="IVBETextNormal"/>
      </w:pPr>
      <w:r>
        <w:t xml:space="preserve">Les rapports définitifs sont intégrés dans le dossier de l’AI. Ils constituent une composante importante de la documentation du processus de réadaptation et des résultats des mesures d’instruction et de réadaptation. </w:t>
      </w:r>
    </w:p>
    <w:p>
      <w:pPr>
        <w:pStyle w:val="IVBETextNormal"/>
        <w:spacing w:before="240" w:after="120"/>
        <w:rPr>
          <w:b/>
        </w:rPr>
      </w:pPr>
      <w:r>
        <w:rPr>
          <w:b/>
        </w:rPr>
        <w:t xml:space="preserve">Rapports intermédiaires sur demande </w:t>
      </w:r>
    </w:p>
    <w:p>
      <w:pPr>
        <w:pStyle w:val="IVBETextNormal"/>
      </w:pPr>
      <w:r>
        <w:t>Si un rapport supplémentaire est exigé à la fin de chaque semestre et après la conclusion d’une mesure, en plus des rapports prévus selon le ch. 2.2, il s’agit d’un «rapport intermédiaire sur demande». Ils sont intégrés dans le dossier de l’AI dans la forme définitive.</w:t>
      </w:r>
    </w:p>
    <w:p>
      <w:pPr>
        <w:pStyle w:val="IVBEUntertitel"/>
        <w:numPr>
          <w:ilvl w:val="1"/>
          <w:numId w:val="4"/>
        </w:numPr>
        <w:spacing w:before="360"/>
      </w:pPr>
      <w:r>
        <w:t xml:space="preserve">Signature des rapports </w:t>
      </w:r>
    </w:p>
    <w:p>
      <w:pPr>
        <w:pStyle w:val="IVBETextNormal"/>
      </w:pPr>
      <w:r>
        <w:t xml:space="preserve">Les rapports définitifs seront signés par le fournisseur de prestations conformément aux prescriptions internes de l’entreprise. La signature est constituée de la date, du nom et du prénom ainsi que de la signature personnelle. </w:t>
      </w:r>
    </w:p>
    <w:p>
      <w:pPr>
        <w:pStyle w:val="IVBETextNormal"/>
      </w:pPr>
      <w:r>
        <w:t xml:space="preserve">Il n’y a actuellement aucun modèle correspondant dans les rapports. Nous vous prions d’effectuer la signature décrite ci-dessus à main levée. </w:t>
      </w:r>
    </w:p>
    <w:p>
      <w:pPr>
        <w:pStyle w:val="IVBEUntertitel"/>
        <w:spacing w:before="360"/>
      </w:pPr>
      <w:r>
        <w:t>Délais pour le reporting</w:t>
      </w:r>
    </w:p>
    <w:p>
      <w:pPr>
        <w:pStyle w:val="IVBETextNormal"/>
      </w:pPr>
      <w:r>
        <w:t>Les réglementations suivantes sont valables pour toutes les mesures d’instruction et de réadaptation de l’Office AI Canton de Berne, sauf divergences dans les descriptions de produit.</w:t>
      </w:r>
    </w:p>
    <w:p>
      <w:pPr>
        <w:pStyle w:val="IVBETextNormal"/>
        <w:spacing w:before="240" w:after="120"/>
        <w:rPr>
          <w:b/>
        </w:rPr>
      </w:pPr>
      <w:r>
        <w:rPr>
          <w:b/>
        </w:rPr>
        <w:lastRenderedPageBreak/>
        <w:t xml:space="preserve">Rapports provisoires </w:t>
      </w:r>
    </w:p>
    <w:p>
      <w:pPr>
        <w:pStyle w:val="IVBETextNormal"/>
      </w:pPr>
      <w:r>
        <w:t>Les rapports provisoires doivent être transmis au spécialiste compétent au plus tard 5 jours civils avant un entretien de bilan.</w:t>
      </w:r>
    </w:p>
    <w:p>
      <w:pPr>
        <w:pStyle w:val="IVBETextNormal"/>
        <w:spacing w:before="240" w:after="120"/>
        <w:rPr>
          <w:b/>
        </w:rPr>
      </w:pPr>
      <w:r>
        <w:rPr>
          <w:b/>
        </w:rPr>
        <w:t>Rapports définitifs</w:t>
      </w:r>
    </w:p>
    <w:p>
      <w:pPr>
        <w:pStyle w:val="IVBETextNormal"/>
      </w:pPr>
      <w:r>
        <w:t xml:space="preserve">Des rapports de formation et sur </w:t>
      </w:r>
      <w:r>
        <w:rPr>
          <w:lang w:val="fr-CH"/>
        </w:rPr>
        <w:t>le logement définitifs</w:t>
      </w:r>
      <w:r>
        <w:t xml:space="preserve"> sont transmis à l’Office AI Canton de Berne à la fin de chaque semestre, </w:t>
      </w:r>
      <w:r>
        <w:rPr>
          <w:b/>
          <w:bCs/>
        </w:rPr>
        <w:t>en cas de mesures de formation</w:t>
      </w:r>
      <w:r>
        <w:t>. S’il n’y a pas d’entretien de bilan à la fin du semestre correspondant, le rapport définitif (sans rapport provisoire préalable) doit être transmis à l’Office AI Canton de Berne jusqu’au 15 février ou jusqu’au 15 août. Si un entretien de bilan se déroule en revanche à la fin du semestre correspondant (avant ou après le 15 février ou le 15 août), la date de l’entretien de bilan s’applique à l’établissement du rapport. Un rapport provisoire est dû au plus tard 5 jours avant cet entretien de bilan et un rapport définitif au plus tard 10 jours après cet entretien de bilan.</w:t>
      </w:r>
    </w:p>
    <w:p>
      <w:pPr>
        <w:pStyle w:val="IVBETextNormal"/>
      </w:pPr>
      <w:r>
        <w:t xml:space="preserve">Pour toutes les autres </w:t>
      </w:r>
      <w:r>
        <w:rPr>
          <w:b/>
          <w:bCs/>
        </w:rPr>
        <w:t>mesures d’instruction et de réadaptation</w:t>
      </w:r>
      <w:r>
        <w:t>, les rapports sont transmis à l’Office AI Canton de Berne au plus tard 10 jours civils</w:t>
      </w:r>
      <w:r>
        <w:rPr>
          <w:b/>
          <w:bCs/>
        </w:rPr>
        <w:t xml:space="preserve"> après la fin de la mesure</w:t>
      </w:r>
      <w:r>
        <w:t>. S’il n’y a pas d’entretien de bilan à la fin de la mesure, le rapport définitif peut être directement envoyé (sans rapport provisoire préalable). S’il y a en revanche un entretien de bilan à la fin de la mesure, un rapport provisoire est en outre dû (cf. ci-dessus).</w:t>
      </w:r>
    </w:p>
    <w:p>
      <w:pPr>
        <w:pStyle w:val="IVBETextNormal"/>
        <w:spacing w:before="240" w:after="120"/>
        <w:rPr>
          <w:b/>
        </w:rPr>
      </w:pPr>
      <w:r>
        <w:rPr>
          <w:b/>
        </w:rPr>
        <w:t xml:space="preserve">Rapports intermédiaires sur demande </w:t>
      </w:r>
    </w:p>
    <w:p>
      <w:pPr>
        <w:pStyle w:val="IVBETextNormal"/>
      </w:pPr>
      <w:r>
        <w:t>Si un rapport intermédiaire est exigé, un rapport provisoire doit être établi, au cas où il y aurait un entretien de bilan supplémentaire à cet égard. Dans ce cas, le rapport définitif doit être transmis au plus tard 10 jours suivant cet entretien de bilan. S’il n’y a pas d’entretien de bilan, le rapport définitif peut être directement remis.</w:t>
      </w:r>
    </w:p>
    <w:p>
      <w:pPr>
        <w:pStyle w:val="IVBETextNormal"/>
        <w:spacing w:before="240" w:after="120"/>
        <w:rPr>
          <w:b/>
        </w:rPr>
      </w:pPr>
      <w:r>
        <w:rPr>
          <w:b/>
        </w:rPr>
        <w:t>Situations particulières</w:t>
      </w:r>
    </w:p>
    <w:p>
      <w:pPr>
        <w:pStyle w:val="IVBETextNormal"/>
      </w:pPr>
      <w:r>
        <w:t>Dans des situations particulières, une autre forme de feedback peut exceptionnellement être choisie avant l’entretien, avec le consentement exprès du spécialiste compétent de l’Office AI Canton de Berne.</w:t>
      </w:r>
    </w:p>
    <w:p>
      <w:pPr>
        <w:pStyle w:val="IVBEUntertitel"/>
        <w:spacing w:before="360"/>
      </w:pPr>
      <w:r>
        <w:t>Type de transmission des rapports avec e-mail HNI ou courrier</w:t>
      </w:r>
    </w:p>
    <w:p>
      <w:pPr>
        <w:pStyle w:val="IVBETextNormal"/>
        <w:spacing w:before="240" w:after="120"/>
        <w:rPr>
          <w:b/>
        </w:rPr>
      </w:pPr>
      <w:r>
        <w:rPr>
          <w:b/>
        </w:rPr>
        <w:t>Rapports provisoires</w:t>
      </w:r>
    </w:p>
    <w:p>
      <w:pPr>
        <w:pStyle w:val="IVBETextNormal"/>
      </w:pPr>
      <w:r>
        <w:t>Les rapports provisoires doivent être transmis au spécialiste compétent par e-mail (e-mail HNI). Si une transmission cryptée est impossible, le rapport provisoire peut être transmis sous forme anonymisée par e-mail, par exemple en utilisant exclusivement les initiales et en omettant les autres informations relatives à la personne assurée. Il est important que le spécialiste compétent de l’Office AI Canton de Berne sache sans aucun doute de quelle personne assurée il s’agit.</w:t>
      </w:r>
    </w:p>
    <w:p>
      <w:pPr>
        <w:pStyle w:val="IVBETextNormal"/>
        <w:spacing w:before="240" w:after="120"/>
        <w:rPr>
          <w:b/>
        </w:rPr>
      </w:pPr>
      <w:r>
        <w:rPr>
          <w:b/>
        </w:rPr>
        <w:t>Rapports définitifs</w:t>
      </w:r>
    </w:p>
    <w:p>
      <w:pPr>
        <w:pStyle w:val="IVBETextNormal"/>
        <w:rPr>
          <w:b/>
          <w:sz w:val="26"/>
          <w:szCs w:val="22"/>
        </w:rPr>
      </w:pPr>
      <w:r>
        <w:t>Les rapports définitifs sont transmis par e-mail HNI ou courrier. Les informations relatives à la personne assurée doivent toujours être saisies intégralement.</w:t>
      </w:r>
      <w:r>
        <w:br w:type="page"/>
      </w:r>
    </w:p>
    <w:p>
      <w:pPr>
        <w:pStyle w:val="IVBETitel"/>
        <w:spacing w:before="840" w:after="360"/>
      </w:pPr>
      <w:r>
        <w:lastRenderedPageBreak/>
        <w:t>Informations spécifiques sur certains thèmes des modèles de rapports</w:t>
      </w:r>
    </w:p>
    <w:p>
      <w:pPr>
        <w:pStyle w:val="IVBEUntertitel"/>
      </w:pPr>
      <w:r>
        <w:rPr>
          <w:rFonts w:eastAsiaTheme="minorHAnsi"/>
          <w:lang w:val="fr-CH"/>
        </w:rPr>
        <w:t xml:space="preserve"> </w:t>
      </w:r>
      <w:r>
        <w:rPr>
          <w:rFonts w:eastAsiaTheme="minorHAnsi"/>
          <w:lang w:val="de-CH"/>
        </w:rPr>
        <w:t xml:space="preserve">Evaluation des performances </w:t>
      </w:r>
    </w:p>
    <w:p>
      <w:pPr>
        <w:rPr>
          <w:lang w:eastAsia="en-US"/>
        </w:rPr>
      </w:pPr>
      <w:r>
        <w:t xml:space="preserve">Ce mémento renseigne sur l’importance pour le travail de l’AIBE des évaluations des performances réali-sées dans le cadre des mesures d’instruction et de réadaptation. Des termes importants sont par ailleurs définis. </w:t>
      </w:r>
      <w:hyperlink r:id="rId27" w:history="1">
        <w:r>
          <w:rPr>
            <w:rStyle w:val="Hyperlink"/>
          </w:rPr>
          <w:t>Mémento Evaluation performances</w:t>
        </w:r>
      </w:hyperlink>
    </w:p>
    <w:p>
      <w:pPr>
        <w:pStyle w:val="IVBEUntertitel"/>
        <w:spacing w:before="360"/>
      </w:pPr>
      <w:r>
        <w:t>Exemple d’une évaluation du travail dans le domaine «travaux réalisés» (texte de l’exemple en bleu)</w:t>
      </w:r>
    </w:p>
    <w:tbl>
      <w:tblPr>
        <w:tblStyle w:val="Tabellenraster"/>
        <w:tblW w:w="9582" w:type="dxa"/>
        <w:tblLayout w:type="fixed"/>
        <w:tblCellMar>
          <w:top w:w="57" w:type="dxa"/>
          <w:bottom w:w="57" w:type="dxa"/>
        </w:tblCellMar>
        <w:tblLook w:val="04A0" w:firstRow="1" w:lastRow="0" w:firstColumn="1" w:lastColumn="0" w:noHBand="0" w:noVBand="1"/>
      </w:tblPr>
      <w:tblGrid>
        <w:gridCol w:w="2404"/>
        <w:gridCol w:w="2983"/>
        <w:gridCol w:w="4195"/>
      </w:tblGrid>
      <w:tr>
        <w:trPr>
          <w:tblHeader/>
        </w:trPr>
        <w:tc>
          <w:tcPr>
            <w:tcW w:w="9582" w:type="dxa"/>
            <w:gridSpan w:val="3"/>
            <w:tcBorders>
              <w:top w:val="single" w:sz="4" w:space="0" w:color="auto"/>
              <w:left w:val="single" w:sz="4" w:space="0" w:color="auto"/>
              <w:bottom w:val="nil"/>
              <w:right w:val="single" w:sz="4" w:space="0" w:color="auto"/>
            </w:tcBorders>
          </w:tcPr>
          <w:p>
            <w:pPr>
              <w:pStyle w:val="IVBETextNormal"/>
              <w:spacing w:after="120"/>
              <w:rPr>
                <w:b/>
              </w:rPr>
            </w:pPr>
            <w:r>
              <w:rPr>
                <w:b/>
              </w:rPr>
              <w:t xml:space="preserve">Travaux réalisés </w:t>
            </w:r>
          </w:p>
        </w:tc>
      </w:tr>
      <w:tr>
        <w:trPr>
          <w:tblHeader/>
        </w:trPr>
        <w:tc>
          <w:tcPr>
            <w:tcW w:w="9582" w:type="dxa"/>
            <w:gridSpan w:val="3"/>
            <w:tcBorders>
              <w:top w:val="nil"/>
              <w:left w:val="single" w:sz="4" w:space="0" w:color="auto"/>
              <w:bottom w:val="single" w:sz="4" w:space="0" w:color="auto"/>
              <w:right w:val="single" w:sz="4" w:space="0" w:color="auto"/>
            </w:tcBorders>
            <w:shd w:val="clear" w:color="auto" w:fill="auto"/>
          </w:tcPr>
          <w:p>
            <w:pPr>
              <w:pStyle w:val="IVBETextNormal"/>
              <w:tabs>
                <w:tab w:val="left" w:pos="2444"/>
                <w:tab w:val="left" w:pos="3134"/>
              </w:tabs>
              <w:suppressAutoHyphens/>
              <w:spacing w:after="120"/>
            </w:pPr>
            <w:r>
              <w:rPr>
                <w:u w:val="single"/>
              </w:rPr>
              <w:t>Remarque relative à la quantité</w:t>
            </w:r>
          </w:p>
          <w:p>
            <w:pPr>
              <w:pStyle w:val="IVBETextNormal"/>
              <w:tabs>
                <w:tab w:val="left" w:pos="2444"/>
                <w:tab w:val="left" w:pos="3134"/>
              </w:tabs>
              <w:suppressAutoHyphens/>
              <w:spacing w:after="120"/>
            </w:pPr>
            <w:r>
              <w:t xml:space="preserve">Une quantité de 100% correspond à une performance moyenne normale. La performance quantitative peut ainsi être supérieure à 100%. </w:t>
            </w:r>
          </w:p>
          <w:p>
            <w:pPr>
              <w:pStyle w:val="IVBETextNormal"/>
              <w:suppressAutoHyphens/>
            </w:pPr>
          </w:p>
        </w:tc>
      </w:tr>
      <w:tr>
        <w:tc>
          <w:tcPr>
            <w:tcW w:w="2404" w:type="dxa"/>
            <w:tcBorders>
              <w:top w:val="single" w:sz="4" w:space="0" w:color="auto"/>
              <w:bottom w:val="nil"/>
              <w:right w:val="single" w:sz="4" w:space="0" w:color="auto"/>
            </w:tcBorders>
            <w:shd w:val="clear" w:color="auto" w:fill="D9D9D9" w:themeFill="background1" w:themeFillShade="D9"/>
          </w:tcPr>
          <w:p>
            <w:pPr>
              <w:pStyle w:val="IVBETextNormal"/>
              <w:suppressAutoHyphens/>
              <w:rPr>
                <w:sz w:val="18"/>
                <w:szCs w:val="18"/>
              </w:rPr>
            </w:pPr>
            <w:r>
              <w:rPr>
                <w:sz w:val="18"/>
              </w:rPr>
              <w:t>Domaine d’intervention 1</w:t>
            </w:r>
          </w:p>
        </w:tc>
        <w:tc>
          <w:tcPr>
            <w:tcW w:w="7178" w:type="dxa"/>
            <w:gridSpan w:val="2"/>
            <w:tcBorders>
              <w:top w:val="single" w:sz="4" w:space="0" w:color="auto"/>
              <w:left w:val="single" w:sz="4" w:space="0" w:color="auto"/>
              <w:bottom w:val="nil"/>
            </w:tcBorders>
            <w:shd w:val="clear" w:color="auto" w:fill="D9D9D9" w:themeFill="background1" w:themeFillShade="D9"/>
          </w:tcPr>
          <w:p>
            <w:pPr>
              <w:pStyle w:val="IVBETextNormal"/>
              <w:suppressAutoHyphens/>
              <w:rPr>
                <w:sz w:val="18"/>
                <w:szCs w:val="18"/>
              </w:rPr>
            </w:pPr>
            <w:r>
              <w:rPr>
                <w:sz w:val="18"/>
              </w:rPr>
              <w:t xml:space="preserve">Description de l’activité </w:t>
            </w:r>
          </w:p>
        </w:tc>
      </w:tr>
      <w:tr>
        <w:tc>
          <w:tcPr>
            <w:tcW w:w="2404" w:type="dxa"/>
            <w:tcBorders>
              <w:top w:val="nil"/>
              <w:bottom w:val="single" w:sz="4" w:space="0" w:color="auto"/>
              <w:right w:val="single" w:sz="4" w:space="0" w:color="auto"/>
            </w:tcBorders>
            <w:shd w:val="clear" w:color="auto" w:fill="auto"/>
          </w:tcPr>
          <w:p>
            <w:pPr>
              <w:pStyle w:val="IVBETextNormal"/>
              <w:suppressAutoHyphens/>
              <w:spacing w:before="60"/>
              <w:rPr>
                <w:rFonts w:cs="Arial"/>
                <w:color w:val="0888CA"/>
              </w:rPr>
            </w:pPr>
            <w:r>
              <w:rPr>
                <w:color w:val="0888CA"/>
              </w:rPr>
              <w:t xml:space="preserve">Cuisine/vaisselle </w:t>
            </w:r>
          </w:p>
        </w:tc>
        <w:tc>
          <w:tcPr>
            <w:tcW w:w="7178" w:type="dxa"/>
            <w:gridSpan w:val="2"/>
            <w:tcBorders>
              <w:top w:val="nil"/>
              <w:left w:val="single" w:sz="4" w:space="0" w:color="auto"/>
              <w:bottom w:val="single" w:sz="4" w:space="0" w:color="auto"/>
            </w:tcBorders>
            <w:shd w:val="clear" w:color="auto" w:fill="auto"/>
          </w:tcPr>
          <w:p>
            <w:pPr>
              <w:pStyle w:val="IVBETextNormal"/>
              <w:suppressAutoHyphens/>
              <w:spacing w:before="60"/>
              <w:jc w:val="both"/>
              <w:rPr>
                <w:rFonts w:cs="Arial"/>
                <w:color w:val="0888CA"/>
              </w:rPr>
            </w:pPr>
            <w:r>
              <w:rPr>
                <w:color w:val="0888CA"/>
              </w:rPr>
              <w:t xml:space="preserve">Rinçage de la vaisselle et chargement du lave-vaisselle industriel, retrait de la vaisselle propre, essuyage et rangement sur les étagères </w:t>
            </w:r>
          </w:p>
        </w:tc>
      </w:tr>
      <w:tr>
        <w:tc>
          <w:tcPr>
            <w:tcW w:w="9582" w:type="dxa"/>
            <w:gridSpan w:val="3"/>
            <w:tcBorders>
              <w:top w:val="nil"/>
              <w:bottom w:val="single" w:sz="4" w:space="0" w:color="auto"/>
            </w:tcBorders>
            <w:shd w:val="clear" w:color="auto" w:fill="auto"/>
          </w:tcPr>
          <w:p>
            <w:pPr>
              <w:pStyle w:val="IVBETextNormal"/>
              <w:suppressAutoHyphens/>
              <w:spacing w:before="60"/>
              <w:jc w:val="both"/>
              <w:rPr>
                <w:rFonts w:cs="Arial"/>
                <w:color w:val="0888CA"/>
              </w:rPr>
            </w:pPr>
            <w:r>
              <w:rPr>
                <w:color w:val="0888CA"/>
              </w:rPr>
              <w:t>Observations relatives à la performance / diminution de la performance</w:t>
            </w:r>
          </w:p>
          <w:p>
            <w:pPr>
              <w:pStyle w:val="IVBETextNormal"/>
              <w:suppressAutoHyphens/>
              <w:spacing w:before="60"/>
              <w:jc w:val="both"/>
              <w:rPr>
                <w:rFonts w:cs="Arial"/>
                <w:color w:val="0888CA"/>
              </w:rPr>
            </w:pPr>
            <w:r>
              <w:rPr>
                <w:color w:val="0888CA"/>
              </w:rPr>
              <w:t>Après une heure, la personne assurée se plaignait de maux de dos irradiant dans les jambes. Des pauses supplémentaires ont été ajoutées, en moyenne tous les trois-quarts d’heure. Le rinçage de la vaisselle a été correctement réalisé, le chargement et l’essuyage ont été réalisés conformément au système présenté et avec célérité. Le rangement de la vaisselle sur les étagères n’a pas pu être réalisé par la personne assurée. Elle a déclaré ne pas pouvoir lever les bras au-dessus du niveau des épaules.</w:t>
            </w:r>
          </w:p>
        </w:tc>
      </w:tr>
      <w:tr>
        <w:tc>
          <w:tcPr>
            <w:tcW w:w="2404" w:type="dxa"/>
            <w:tcBorders>
              <w:bottom w:val="single" w:sz="4" w:space="0" w:color="auto"/>
              <w:right w:val="nil"/>
            </w:tcBorders>
            <w:shd w:val="clear" w:color="auto" w:fill="auto"/>
          </w:tcPr>
          <w:p>
            <w:pPr>
              <w:pStyle w:val="IVBETextNormal"/>
              <w:suppressAutoHyphens/>
              <w:spacing w:before="60"/>
              <w:rPr>
                <w:rFonts w:cs="Arial"/>
                <w:color w:val="0888CA"/>
              </w:rPr>
            </w:pPr>
            <w:r>
              <w:rPr>
                <w:color w:val="0888CA"/>
              </w:rPr>
              <w:t>Evaluation de la performance:</w:t>
            </w:r>
          </w:p>
        </w:tc>
        <w:tc>
          <w:tcPr>
            <w:tcW w:w="2983" w:type="dxa"/>
            <w:tcBorders>
              <w:left w:val="nil"/>
              <w:bottom w:val="single" w:sz="4" w:space="0" w:color="auto"/>
              <w:right w:val="nil"/>
            </w:tcBorders>
            <w:shd w:val="clear" w:color="auto" w:fill="auto"/>
          </w:tcPr>
          <w:p>
            <w:pPr>
              <w:pStyle w:val="IVBETextNormal"/>
              <w:suppressAutoHyphens/>
              <w:spacing w:before="60"/>
              <w:jc w:val="both"/>
              <w:rPr>
                <w:rFonts w:cs="Arial"/>
                <w:color w:val="0888CA"/>
              </w:rPr>
            </w:pPr>
            <w:r>
              <w:rPr>
                <w:color w:val="0888CA"/>
              </w:rPr>
              <w:t>Quantité: 20%</w:t>
            </w:r>
          </w:p>
        </w:tc>
        <w:tc>
          <w:tcPr>
            <w:tcW w:w="4195" w:type="dxa"/>
            <w:tcBorders>
              <w:left w:val="nil"/>
              <w:bottom w:val="single" w:sz="4" w:space="0" w:color="auto"/>
            </w:tcBorders>
            <w:shd w:val="clear" w:color="auto" w:fill="auto"/>
          </w:tcPr>
          <w:p>
            <w:pPr>
              <w:pStyle w:val="IVBETextNormal"/>
              <w:suppressAutoHyphens/>
              <w:spacing w:before="60"/>
              <w:jc w:val="both"/>
              <w:rPr>
                <w:rFonts w:cs="Arial"/>
                <w:color w:val="0888CA"/>
              </w:rPr>
            </w:pPr>
            <w:r>
              <w:rPr>
                <w:color w:val="0888CA"/>
              </w:rPr>
              <w:t>Qualité:</w:t>
            </w:r>
            <w:r>
              <w:t xml:space="preserve"> </w:t>
            </w:r>
            <w:sdt>
              <w:sdtPr>
                <w:rPr>
                  <w:rFonts w:cs="Arial"/>
                  <w:color w:val="0888CA"/>
                </w:rPr>
                <w:alias w:val="Qualité "/>
                <w:tag w:val="Qualität "/>
                <w:id w:val="-954560899"/>
                <w:placeholder>
                  <w:docPart w:val="03A85974F8234CBCB246741824022A3E"/>
                </w:placeholder>
                <w:dropDownList>
                  <w:listItem w:displayText=" --- Faire une sélection ---" w:value=" --- Faire une sélection ---"/>
                  <w:listItem w:displayText="très bien" w:value="très bien"/>
                  <w:listItem w:displayText="bien" w:value="bien"/>
                  <w:listItem w:displayText="suffisant " w:value="suffisant "/>
                  <w:listItem w:displayText="insuffisant " w:value="insuffisant "/>
                </w:dropDownList>
              </w:sdtPr>
              <w:sdtContent>
                <w:r>
                  <w:rPr>
                    <w:color w:val="0888CA"/>
                  </w:rPr>
                  <w:t>très bien</w:t>
                </w:r>
              </w:sdtContent>
            </w:sdt>
          </w:p>
        </w:tc>
      </w:tr>
    </w:tbl>
    <w:p>
      <w:pPr>
        <w:pStyle w:val="IVBEUntertitel"/>
        <w:numPr>
          <w:ilvl w:val="0"/>
          <w:numId w:val="0"/>
        </w:num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TextNormal"/>
        <w:rPr>
          <w:rFonts w:eastAsiaTheme="minorHAnsi"/>
          <w:lang w:eastAsia="de-CH"/>
        </w:rPr>
      </w:pPr>
    </w:p>
    <w:p>
      <w:pPr>
        <w:pStyle w:val="IVBEUntertitel"/>
        <w:spacing w:before="360"/>
      </w:pPr>
      <w:r>
        <w:lastRenderedPageBreak/>
        <w:t>Exemple de barème pour l’évaluation des compétences et des ressources (texte de l’exemple en bleu)</w:t>
      </w:r>
    </w:p>
    <w:tbl>
      <w:tblPr>
        <w:tblStyle w:val="Tabellenraster"/>
        <w:tblW w:w="9587" w:type="dxa"/>
        <w:tblLayout w:type="fixed"/>
        <w:tblCellMar>
          <w:top w:w="57" w:type="dxa"/>
          <w:bottom w:w="57" w:type="dxa"/>
        </w:tblCellMar>
        <w:tblLook w:val="04A0" w:firstRow="1" w:lastRow="0" w:firstColumn="1" w:lastColumn="0" w:noHBand="0" w:noVBand="1"/>
      </w:tblPr>
      <w:tblGrid>
        <w:gridCol w:w="956"/>
        <w:gridCol w:w="2234"/>
        <w:gridCol w:w="797"/>
        <w:gridCol w:w="798"/>
        <w:gridCol w:w="798"/>
        <w:gridCol w:w="798"/>
        <w:gridCol w:w="3191"/>
        <w:gridCol w:w="15"/>
      </w:tblGrid>
      <w:tr>
        <w:trPr>
          <w:tblHeader/>
        </w:trPr>
        <w:tc>
          <w:tcPr>
            <w:tcW w:w="9587" w:type="dxa"/>
            <w:gridSpan w:val="8"/>
            <w:tcBorders>
              <w:top w:val="single" w:sz="4" w:space="0" w:color="auto"/>
              <w:left w:val="single" w:sz="4" w:space="0" w:color="auto"/>
              <w:bottom w:val="single" w:sz="4" w:space="0" w:color="auto"/>
              <w:right w:val="single" w:sz="4" w:space="0" w:color="auto"/>
            </w:tcBorders>
          </w:tcPr>
          <w:p>
            <w:pPr>
              <w:pStyle w:val="IVBETextNormal"/>
              <w:spacing w:after="120"/>
              <w:rPr>
                <w:u w:val="single"/>
              </w:rPr>
            </w:pPr>
            <w:r>
              <w:rPr>
                <w:u w:val="single"/>
              </w:rPr>
              <w:t xml:space="preserve">Barème pour l’évaluation du travail </w:t>
            </w:r>
          </w:p>
          <w:p>
            <w:pPr>
              <w:pStyle w:val="IVBETextNormal"/>
              <w:spacing w:after="120"/>
            </w:pPr>
            <w:r>
              <w:t>en comparaison avec une personne ayant des capacités moyennes normales (B)</w:t>
            </w:r>
          </w:p>
        </w:tc>
      </w:tr>
      <w:tr>
        <w:trPr>
          <w:trHeight w:val="341"/>
          <w:tblHeader/>
        </w:trPr>
        <w:tc>
          <w:tcPr>
            <w:tcW w:w="956" w:type="dxa"/>
            <w:tcBorders>
              <w:bottom w:val="nil"/>
            </w:tcBorders>
            <w:shd w:val="clear" w:color="auto" w:fill="C2D69B"/>
            <w:vAlign w:val="center"/>
          </w:tcPr>
          <w:p>
            <w:pPr>
              <w:pStyle w:val="IVBETextNormal"/>
              <w:jc w:val="center"/>
              <w:rPr>
                <w:b/>
              </w:rPr>
            </w:pPr>
            <w:r>
              <w:rPr>
                <w:b/>
              </w:rPr>
              <w:t>A</w:t>
            </w:r>
          </w:p>
        </w:tc>
        <w:tc>
          <w:tcPr>
            <w:tcW w:w="8631" w:type="dxa"/>
            <w:gridSpan w:val="7"/>
            <w:tcBorders>
              <w:bottom w:val="nil"/>
            </w:tcBorders>
            <w:shd w:val="clear" w:color="auto" w:fill="C2D69B" w:themeFill="accent3" w:themeFillTint="99"/>
            <w:vAlign w:val="center"/>
          </w:tcPr>
          <w:p>
            <w:pPr>
              <w:pStyle w:val="IVBETextNormal"/>
              <w:rPr>
                <w:b/>
              </w:rPr>
            </w:pPr>
            <w:r>
              <w:rPr>
                <w:b/>
              </w:rPr>
              <w:t xml:space="preserve">supérieur à la moyenne, excellent </w:t>
            </w:r>
          </w:p>
        </w:tc>
      </w:tr>
      <w:tr>
        <w:trPr>
          <w:trHeight w:val="414"/>
          <w:tblHeader/>
        </w:trPr>
        <w:tc>
          <w:tcPr>
            <w:tcW w:w="956" w:type="dxa"/>
            <w:shd w:val="clear" w:color="auto" w:fill="C5F1FB"/>
            <w:vAlign w:val="center"/>
          </w:tcPr>
          <w:p>
            <w:pPr>
              <w:pStyle w:val="IVBETextNormal"/>
              <w:jc w:val="center"/>
              <w:rPr>
                <w:b/>
              </w:rPr>
            </w:pPr>
            <w:r>
              <w:rPr>
                <w:b/>
              </w:rPr>
              <w:t>B</w:t>
            </w:r>
          </w:p>
        </w:tc>
        <w:tc>
          <w:tcPr>
            <w:tcW w:w="8631" w:type="dxa"/>
            <w:gridSpan w:val="7"/>
            <w:shd w:val="clear" w:color="auto" w:fill="C5F1FB"/>
            <w:vAlign w:val="center"/>
          </w:tcPr>
          <w:p>
            <w:pPr>
              <w:pStyle w:val="IVBETextNormal"/>
              <w:rPr>
                <w:b/>
              </w:rPr>
            </w:pPr>
            <w:r>
              <w:rPr>
                <w:b/>
              </w:rPr>
              <w:t xml:space="preserve">moyen, normal  </w:t>
            </w:r>
          </w:p>
        </w:tc>
      </w:tr>
      <w:tr>
        <w:trPr>
          <w:trHeight w:val="414"/>
          <w:tblHeader/>
        </w:trPr>
        <w:tc>
          <w:tcPr>
            <w:tcW w:w="956" w:type="dxa"/>
            <w:tcBorders>
              <w:bottom w:val="single" w:sz="4" w:space="0" w:color="auto"/>
            </w:tcBorders>
            <w:shd w:val="clear" w:color="auto" w:fill="FBD4B4" w:themeFill="accent6" w:themeFillTint="66"/>
            <w:vAlign w:val="center"/>
          </w:tcPr>
          <w:p>
            <w:pPr>
              <w:pStyle w:val="IVBETextNormal"/>
              <w:jc w:val="center"/>
              <w:rPr>
                <w:b/>
              </w:rPr>
            </w:pPr>
            <w:r>
              <w:rPr>
                <w:b/>
              </w:rPr>
              <w:t>C</w:t>
            </w:r>
          </w:p>
        </w:tc>
        <w:tc>
          <w:tcPr>
            <w:tcW w:w="8631" w:type="dxa"/>
            <w:gridSpan w:val="7"/>
            <w:tcBorders>
              <w:bottom w:val="single" w:sz="4" w:space="0" w:color="auto"/>
            </w:tcBorders>
            <w:shd w:val="clear" w:color="auto" w:fill="FBD4B4" w:themeFill="accent6" w:themeFillTint="66"/>
            <w:vAlign w:val="center"/>
          </w:tcPr>
          <w:p>
            <w:pPr>
              <w:pStyle w:val="IVBETextNormal"/>
              <w:rPr>
                <w:b/>
              </w:rPr>
            </w:pPr>
            <w:r>
              <w:rPr>
                <w:b/>
              </w:rPr>
              <w:t xml:space="preserve">limité  </w:t>
            </w:r>
          </w:p>
        </w:tc>
      </w:tr>
      <w:tr>
        <w:trPr>
          <w:trHeight w:val="414"/>
          <w:tblHeader/>
        </w:trPr>
        <w:tc>
          <w:tcPr>
            <w:tcW w:w="956" w:type="dxa"/>
            <w:tcBorders>
              <w:top w:val="single" w:sz="4" w:space="0" w:color="auto"/>
              <w:bottom w:val="single" w:sz="4" w:space="0" w:color="auto"/>
            </w:tcBorders>
            <w:shd w:val="clear" w:color="auto" w:fill="F8C8DD"/>
            <w:vAlign w:val="center"/>
          </w:tcPr>
          <w:p>
            <w:pPr>
              <w:pStyle w:val="IVBETextNormal"/>
              <w:jc w:val="center"/>
              <w:rPr>
                <w:b/>
              </w:rPr>
            </w:pPr>
            <w:r>
              <w:rPr>
                <w:b/>
              </w:rPr>
              <w:t>D</w:t>
            </w:r>
          </w:p>
        </w:tc>
        <w:tc>
          <w:tcPr>
            <w:tcW w:w="8631" w:type="dxa"/>
            <w:gridSpan w:val="7"/>
            <w:tcBorders>
              <w:top w:val="single" w:sz="4" w:space="0" w:color="auto"/>
              <w:bottom w:val="single" w:sz="4" w:space="0" w:color="auto"/>
            </w:tcBorders>
            <w:shd w:val="clear" w:color="auto" w:fill="F8C8DD"/>
            <w:vAlign w:val="center"/>
          </w:tcPr>
          <w:p>
            <w:pPr>
              <w:pStyle w:val="IVBETextNormal"/>
              <w:rPr>
                <w:b/>
              </w:rPr>
            </w:pPr>
            <w:r>
              <w:rPr>
                <w:b/>
              </w:rPr>
              <w:t xml:space="preserve">très limité  </w:t>
            </w:r>
          </w:p>
        </w:tc>
      </w:tr>
      <w:tr>
        <w:trPr>
          <w:tblHeader/>
        </w:trPr>
        <w:tc>
          <w:tcPr>
            <w:tcW w:w="9587" w:type="dxa"/>
            <w:gridSpan w:val="8"/>
            <w:tcBorders>
              <w:top w:val="single" w:sz="4" w:space="0" w:color="auto"/>
              <w:left w:val="nil"/>
              <w:bottom w:val="nil"/>
              <w:right w:val="nil"/>
            </w:tcBorders>
            <w:shd w:val="clear" w:color="auto" w:fill="auto"/>
          </w:tcPr>
          <w:p>
            <w:pPr>
              <w:pStyle w:val="IVBETextNormal"/>
              <w:suppressAutoHyphens/>
              <w:rPr>
                <w:b/>
              </w:rPr>
            </w:pPr>
          </w:p>
        </w:tc>
      </w:tr>
      <w:tr>
        <w:tblPrEx>
          <w:jc w:val="center"/>
          <w:shd w:val="clear" w:color="auto" w:fill="F2F2F2" w:themeFill="background1" w:themeFillShade="F2"/>
        </w:tblPrEx>
        <w:trPr>
          <w:gridAfter w:val="1"/>
          <w:wAfter w:w="15" w:type="dxa"/>
          <w:tblHeader/>
          <w:jc w:val="center"/>
        </w:trPr>
        <w:tc>
          <w:tcPr>
            <w:tcW w:w="3190" w:type="dxa"/>
            <w:gridSpan w:val="2"/>
            <w:tcBorders>
              <w:top w:val="nil"/>
              <w:left w:val="nil"/>
              <w:bottom w:val="single" w:sz="4" w:space="0" w:color="auto"/>
            </w:tcBorders>
            <w:shd w:val="clear" w:color="auto" w:fill="FFFFFF" w:themeFill="background1"/>
          </w:tcPr>
          <w:p>
            <w:pPr>
              <w:pStyle w:val="IVBETextNormal"/>
              <w:jc w:val="center"/>
              <w:rPr>
                <w:b/>
              </w:rPr>
            </w:pPr>
          </w:p>
        </w:tc>
        <w:tc>
          <w:tcPr>
            <w:tcW w:w="797" w:type="dxa"/>
            <w:tcBorders>
              <w:bottom w:val="single" w:sz="4" w:space="0" w:color="auto"/>
            </w:tcBorders>
            <w:shd w:val="clear" w:color="auto" w:fill="C2D69B" w:themeFill="accent3" w:themeFillTint="99"/>
          </w:tcPr>
          <w:p>
            <w:pPr>
              <w:pStyle w:val="IVBETextNormal"/>
              <w:jc w:val="center"/>
              <w:rPr>
                <w:b/>
              </w:rPr>
            </w:pPr>
            <w:r>
              <w:rPr>
                <w:b/>
              </w:rPr>
              <w:t>A</w:t>
            </w:r>
          </w:p>
        </w:tc>
        <w:tc>
          <w:tcPr>
            <w:tcW w:w="798" w:type="dxa"/>
            <w:tcBorders>
              <w:bottom w:val="single" w:sz="4" w:space="0" w:color="auto"/>
            </w:tcBorders>
            <w:shd w:val="clear" w:color="auto" w:fill="B6F0FC"/>
          </w:tcPr>
          <w:p>
            <w:pPr>
              <w:pStyle w:val="IVBETextNormal"/>
              <w:jc w:val="center"/>
              <w:rPr>
                <w:b/>
              </w:rPr>
            </w:pPr>
            <w:r>
              <w:rPr>
                <w:b/>
              </w:rPr>
              <w:t>B</w:t>
            </w:r>
          </w:p>
        </w:tc>
        <w:tc>
          <w:tcPr>
            <w:tcW w:w="798" w:type="dxa"/>
            <w:tcBorders>
              <w:bottom w:val="single" w:sz="4" w:space="0" w:color="auto"/>
            </w:tcBorders>
            <w:shd w:val="clear" w:color="auto" w:fill="FBD4B4" w:themeFill="accent6" w:themeFillTint="66"/>
          </w:tcPr>
          <w:p>
            <w:pPr>
              <w:pStyle w:val="IVBETextNormal"/>
              <w:jc w:val="center"/>
              <w:rPr>
                <w:b/>
              </w:rPr>
            </w:pPr>
            <w:r>
              <w:rPr>
                <w:b/>
              </w:rPr>
              <w:t>C</w:t>
            </w:r>
          </w:p>
        </w:tc>
        <w:tc>
          <w:tcPr>
            <w:tcW w:w="798" w:type="dxa"/>
            <w:tcBorders>
              <w:bottom w:val="single" w:sz="4" w:space="0" w:color="auto"/>
            </w:tcBorders>
            <w:shd w:val="clear" w:color="auto" w:fill="FEC2DD"/>
          </w:tcPr>
          <w:p>
            <w:pPr>
              <w:pStyle w:val="IVBETextNormal"/>
              <w:jc w:val="center"/>
              <w:rPr>
                <w:b/>
              </w:rPr>
            </w:pPr>
            <w:r>
              <w:rPr>
                <w:b/>
              </w:rPr>
              <w:t>D</w:t>
            </w:r>
          </w:p>
        </w:tc>
        <w:tc>
          <w:tcPr>
            <w:tcW w:w="3191" w:type="dxa"/>
            <w:tcBorders>
              <w:top w:val="nil"/>
              <w:bottom w:val="single" w:sz="4" w:space="0" w:color="auto"/>
              <w:right w:val="nil"/>
            </w:tcBorders>
            <w:shd w:val="clear" w:color="auto" w:fill="FFFFFF" w:themeFill="background1"/>
          </w:tcPr>
          <w:p>
            <w:pPr>
              <w:pStyle w:val="IVBETextNormal"/>
              <w:jc w:val="center"/>
              <w:rPr>
                <w:b/>
              </w:rPr>
            </w:pPr>
          </w:p>
        </w:tc>
      </w:tr>
      <w:tr>
        <w:tblPrEx>
          <w:jc w:val="center"/>
          <w:shd w:val="clear" w:color="auto" w:fill="F2F2F2" w:themeFill="background1" w:themeFillShade="F2"/>
        </w:tblPrEx>
        <w:trPr>
          <w:gridAfter w:val="1"/>
          <w:wAfter w:w="15" w:type="dxa"/>
          <w:tblHeader/>
          <w:jc w:val="center"/>
        </w:trPr>
        <w:tc>
          <w:tcPr>
            <w:tcW w:w="3190" w:type="dxa"/>
            <w:gridSpan w:val="2"/>
            <w:shd w:val="clear" w:color="auto" w:fill="F2F2F2" w:themeFill="background1" w:themeFillShade="F2"/>
          </w:tcPr>
          <w:p>
            <w:pPr>
              <w:pStyle w:val="IVBETextNormal"/>
              <w:rPr>
                <w:b/>
              </w:rPr>
            </w:pPr>
            <w:r>
              <w:rPr>
                <w:b/>
              </w:rPr>
              <w:t xml:space="preserve">Thème </w:t>
            </w:r>
          </w:p>
        </w:tc>
        <w:tc>
          <w:tcPr>
            <w:tcW w:w="797" w:type="dxa"/>
            <w:shd w:val="clear" w:color="auto" w:fill="FFFFFF" w:themeFill="background1"/>
          </w:tcPr>
          <w:p>
            <w:pPr>
              <w:pStyle w:val="IVBETextNormal"/>
              <w:jc w:val="center"/>
              <w:rPr>
                <w:b/>
              </w:rPr>
            </w:pPr>
          </w:p>
        </w:tc>
        <w:tc>
          <w:tcPr>
            <w:tcW w:w="798" w:type="dxa"/>
            <w:shd w:val="clear" w:color="auto" w:fill="FFFFFF" w:themeFill="background1"/>
          </w:tcPr>
          <w:p>
            <w:pPr>
              <w:pStyle w:val="IVBETextNormal"/>
              <w:jc w:val="center"/>
              <w:rPr>
                <w:b/>
              </w:rPr>
            </w:pPr>
          </w:p>
        </w:tc>
        <w:tc>
          <w:tcPr>
            <w:tcW w:w="798" w:type="dxa"/>
            <w:shd w:val="clear" w:color="auto" w:fill="FFFFFF" w:themeFill="background1"/>
          </w:tcPr>
          <w:p>
            <w:pPr>
              <w:pStyle w:val="IVBETextNormal"/>
              <w:jc w:val="center"/>
              <w:rPr>
                <w:b/>
              </w:rPr>
            </w:pPr>
          </w:p>
        </w:tc>
        <w:tc>
          <w:tcPr>
            <w:tcW w:w="798" w:type="dxa"/>
            <w:shd w:val="clear" w:color="auto" w:fill="FFFFFF" w:themeFill="background1"/>
          </w:tcPr>
          <w:p>
            <w:pPr>
              <w:pStyle w:val="IVBETextNormal"/>
              <w:jc w:val="center"/>
              <w:rPr>
                <w:b/>
              </w:rPr>
            </w:pPr>
          </w:p>
        </w:tc>
        <w:tc>
          <w:tcPr>
            <w:tcW w:w="3191" w:type="dxa"/>
            <w:tcBorders>
              <w:right w:val="single" w:sz="4" w:space="0" w:color="auto"/>
            </w:tcBorders>
            <w:shd w:val="clear" w:color="auto" w:fill="F2F2F2" w:themeFill="background1" w:themeFillShade="F2"/>
          </w:tcPr>
          <w:p>
            <w:pPr>
              <w:pStyle w:val="IVBETextNormal"/>
              <w:rPr>
                <w:b/>
              </w:rPr>
            </w:pPr>
            <w:r>
              <w:rPr>
                <w:b/>
              </w:rPr>
              <w:t>Justification</w:t>
            </w:r>
          </w:p>
          <w:p>
            <w:pPr>
              <w:pStyle w:val="IVBETextNormal"/>
              <w:spacing w:before="120"/>
              <w:rPr>
                <w:b/>
                <w:sz w:val="16"/>
                <w:szCs w:val="16"/>
              </w:rPr>
            </w:pPr>
            <w:r>
              <w:rPr>
                <w:b/>
                <w:sz w:val="16"/>
              </w:rPr>
              <w:t>(obligatoire pour A, C, D)</w:t>
            </w:r>
          </w:p>
          <w:p>
            <w:pPr>
              <w:pStyle w:val="IVBETextNormal"/>
              <w:rPr>
                <w:b/>
              </w:rPr>
            </w:pPr>
          </w:p>
        </w:tc>
      </w:tr>
      <w:tr>
        <w:tblPrEx>
          <w:jc w:val="center"/>
          <w:shd w:val="clear" w:color="auto" w:fill="F2F2F2" w:themeFill="background1" w:themeFillShade="F2"/>
        </w:tblPrEx>
        <w:trPr>
          <w:gridAfter w:val="1"/>
          <w:wAfter w:w="15" w:type="dxa"/>
          <w:jc w:val="center"/>
        </w:trPr>
        <w:tc>
          <w:tcPr>
            <w:tcW w:w="3190" w:type="dxa"/>
            <w:gridSpan w:val="2"/>
            <w:shd w:val="clear" w:color="auto" w:fill="FFFFFF" w:themeFill="background1"/>
          </w:tcPr>
          <w:p>
            <w:pPr>
              <w:pStyle w:val="IVBETextNormal"/>
              <w:spacing w:line="210" w:lineRule="exact"/>
              <w:rPr>
                <w:b/>
                <w:sz w:val="16"/>
                <w:szCs w:val="16"/>
              </w:rPr>
            </w:pPr>
            <w:r>
              <w:rPr>
                <w:b/>
                <w:sz w:val="16"/>
              </w:rPr>
              <w:t xml:space="preserve">Ressources physiques </w:t>
            </w:r>
          </w:p>
          <w:p>
            <w:pPr>
              <w:pStyle w:val="IVBETextNormal"/>
              <w:spacing w:line="210" w:lineRule="exact"/>
              <w:rPr>
                <w:sz w:val="16"/>
                <w:szCs w:val="16"/>
              </w:rPr>
            </w:pPr>
            <w:r>
              <w:rPr>
                <w:sz w:val="16"/>
              </w:rPr>
              <w:t>Résistance, mobilité, sens de l’équilibre, motricité fine et grossière, déplacement, position assise, position debout, etc.</w:t>
            </w:r>
          </w:p>
        </w:tc>
        <w:tc>
          <w:tcPr>
            <w:tcW w:w="797"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98"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98"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98"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191" w:type="dxa"/>
            <w:shd w:val="clear" w:color="auto" w:fill="FFFFFF" w:themeFill="background1"/>
          </w:tcPr>
          <w:p>
            <w:pPr>
              <w:pStyle w:val="IVBETextNormal"/>
              <w:rPr>
                <w:color w:val="0888CA"/>
                <w:sz w:val="16"/>
                <w:szCs w:val="16"/>
              </w:rPr>
            </w:pPr>
            <w:r>
              <w:rPr>
                <w:color w:val="0888CA"/>
                <w:sz w:val="16"/>
              </w:rPr>
              <w:t>Se tenir debout sur place ainsi que soulever et porter des charges légères étaient impossibles. La personne assurée ne se déplace pas avec assurance, elle avance lentement et de manière chancelante.</w:t>
            </w:r>
          </w:p>
        </w:tc>
      </w:tr>
    </w:tbl>
    <w:p>
      <w:pPr>
        <w:pStyle w:val="IVBEUntertitel"/>
        <w:numPr>
          <w:ilvl w:val="0"/>
          <w:numId w:val="0"/>
        </w:numPr>
      </w:pPr>
    </w:p>
    <w:p>
      <w:pPr>
        <w:pStyle w:val="IVBETextNormal"/>
        <w:rPr>
          <w:rFonts w:eastAsiaTheme="minorHAnsi"/>
          <w:lang w:eastAsia="de-CH"/>
        </w:rPr>
      </w:pPr>
    </w:p>
    <w:p>
      <w:pPr>
        <w:pStyle w:val="IVBEUntertitel"/>
        <w:numPr>
          <w:ilvl w:val="1"/>
          <w:numId w:val="4"/>
        </w:numPr>
      </w:pPr>
      <w:r>
        <w:rPr>
          <w:rFonts w:eastAsiaTheme="minorHAnsi"/>
        </w:rPr>
        <w:t>E</w:t>
      </w:r>
      <w:r>
        <w:t xml:space="preserve">valuation des performances Niveau de formation FPra selon Insos et Formation élémentaire </w:t>
      </w:r>
      <w:r>
        <w:tab/>
        <w:t xml:space="preserve">AI </w:t>
      </w:r>
    </w:p>
    <w:p>
      <w:pPr>
        <w:pStyle w:val="IVBEAufzhlung"/>
        <w:numPr>
          <w:ilvl w:val="0"/>
          <w:numId w:val="0"/>
        </w:numPr>
      </w:pPr>
      <w:r>
        <w:t xml:space="preserve">La capacité de ces deux niveaux de formation doit être évaluée sur une base de performance à 100% grâce à une comparaison avec un apprenti suivant une formation en vue d’obtenir une attestation professionnelle. </w:t>
      </w:r>
    </w:p>
    <w:p>
      <w:pPr>
        <w:pStyle w:val="IVBEAufzhlung"/>
        <w:numPr>
          <w:ilvl w:val="0"/>
          <w:numId w:val="0"/>
        </w:numPr>
        <w:rPr>
          <w:lang w:eastAsia="de-CH"/>
        </w:rPr>
      </w:pPr>
    </w:p>
    <w:p>
      <w:pPr>
        <w:pStyle w:val="IVBEUntertitel"/>
        <w:numPr>
          <w:ilvl w:val="1"/>
          <w:numId w:val="4"/>
        </w:numPr>
      </w:pPr>
      <w:r>
        <w:t>Résultats / conclusions de la mesure</w:t>
      </w:r>
    </w:p>
    <w:p>
      <w:pPr>
        <w:pStyle w:val="IVBEUntertitel"/>
        <w:numPr>
          <w:ilvl w:val="0"/>
          <w:numId w:val="0"/>
        </w:numPr>
        <w:spacing w:line="280" w:lineRule="exact"/>
        <w:rPr>
          <w:b w:val="0"/>
        </w:rPr>
      </w:pPr>
      <w:r>
        <w:rPr>
          <w:b w:val="0"/>
        </w:rPr>
        <w:t xml:space="preserve">Cette rubrique doit permettre de prendre position sur les possibilités de réadaptation. Lorsqu’une prise de position est impossible, l’option correspondante peut être choisie et justifiée. Il n’est alors pas nécessaire de compléter le tableau suivant. </w:t>
      </w:r>
    </w:p>
    <w:p>
      <w:pPr>
        <w:pStyle w:val="IVBEAufzhlung"/>
        <w:numPr>
          <w:ilvl w:val="0"/>
          <w:numId w:val="0"/>
        </w:numPr>
      </w:pPr>
      <w:r>
        <w:rPr>
          <w:b/>
        </w:rPr>
        <w:t>Une prise de position est obligatoire si</w:t>
      </w:r>
      <w:r>
        <w:t>:</w:t>
      </w:r>
    </w:p>
    <w:p>
      <w:pPr>
        <w:pStyle w:val="IVBEAufzhlung"/>
        <w:numPr>
          <w:ilvl w:val="0"/>
          <w:numId w:val="34"/>
        </w:numPr>
      </w:pPr>
      <w:r>
        <w:t xml:space="preserve">une mesure de formation ou de reclassement entre dans son dernier semestre </w:t>
      </w:r>
    </w:p>
    <w:p>
      <w:pPr>
        <w:pStyle w:val="IVBEAufzhlung"/>
        <w:numPr>
          <w:ilvl w:val="0"/>
          <w:numId w:val="34"/>
        </w:numPr>
      </w:pPr>
      <w:r>
        <w:t xml:space="preserve">une mesure d’instruction ou de réinsertion est achevée </w:t>
      </w:r>
    </w:p>
    <w:p>
      <w:pPr>
        <w:pStyle w:val="IVBETextNormal"/>
        <w:rPr>
          <w:lang w:eastAsia="de-CH"/>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90"/>
        <w:gridCol w:w="3191"/>
        <w:gridCol w:w="3191"/>
      </w:tblGrid>
      <w:tr>
        <w:trPr>
          <w:jc w:val="center"/>
        </w:trPr>
        <w:tc>
          <w:tcPr>
            <w:tcW w:w="3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IVBETextNormal"/>
              <w:spacing w:beforeLines="60" w:before="144" w:after="120"/>
            </w:pPr>
            <w:r>
              <w:t>Questions:</w:t>
            </w:r>
          </w:p>
        </w:tc>
        <w:tc>
          <w:tcPr>
            <w:tcW w:w="6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IVBETextNormal"/>
              <w:spacing w:beforeLines="60" w:before="144" w:after="120"/>
              <w:rPr>
                <w:rFonts w:cs="Arial"/>
                <w:color w:val="000000"/>
                <w:highlight w:val="yellow"/>
              </w:rPr>
            </w:pP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224790</wp:posOffset>
                      </wp:positionV>
                      <wp:extent cx="2124075" cy="981075"/>
                      <wp:effectExtent l="0" t="0" r="28575" b="28575"/>
                      <wp:wrapNone/>
                      <wp:docPr id="3" name="Ellipse 3"/>
                      <wp:cNvGraphicFramePr/>
                      <a:graphic xmlns:a="http://schemas.openxmlformats.org/drawingml/2006/main">
                        <a:graphicData uri="http://schemas.microsoft.com/office/word/2010/wordprocessingShape">
                          <wps:wsp>
                            <wps:cNvSpPr/>
                            <wps:spPr>
                              <a:xfrm>
                                <a:off x="0" y="0"/>
                                <a:ext cx="2124075" cy="98107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20.6pt;margin-top:17.7pt;width:167.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" filled="f" strokecolor="red" strokeweight="2pt"/>
                  </w:pict>
                </mc:Fallback>
              </mc:AlternateContent>
            </w:r>
            <w:r>
              <w:rPr>
                <w:color w:val="000000"/>
              </w:rPr>
              <w:t xml:space="preserve">Prise de position: </w:t>
            </w:r>
          </w:p>
        </w:tc>
      </w:tr>
      <w:tr>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IVBETextNormal"/>
              <w:spacing w:beforeLines="60" w:before="144" w:after="120"/>
            </w:pPr>
            <w:r>
              <w:t>Des indications quant aux résultats sont-elles possibles?</w:t>
            </w:r>
          </w:p>
        </w:tc>
        <w:tc>
          <w:tcPr>
            <w:tcW w:w="3191" w:type="dxa"/>
            <w:tcBorders>
              <w:top w:val="single" w:sz="4" w:space="0" w:color="auto"/>
              <w:left w:val="single" w:sz="4" w:space="0" w:color="auto"/>
              <w:bottom w:val="single" w:sz="4" w:space="0" w:color="auto"/>
            </w:tcBorders>
            <w:shd w:val="clear" w:color="auto" w:fill="FFFFFF" w:themeFill="background1"/>
          </w:tcPr>
          <w:p>
            <w:pPr>
              <w:pStyle w:val="IVBETextNormal"/>
              <w:tabs>
                <w:tab w:val="left" w:pos="3686"/>
                <w:tab w:val="left" w:pos="5245"/>
                <w:tab w:val="left" w:pos="8505"/>
              </w:tabs>
              <w:spacing w:beforeLines="60" w:before="144" w:after="120"/>
              <w:outlineLvl w:val="0"/>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Oui       </w:t>
            </w:r>
          </w:p>
          <w:p>
            <w:pPr>
              <w:pStyle w:val="IVBETextNormal"/>
              <w:tabs>
                <w:tab w:val="left" w:pos="245"/>
                <w:tab w:val="left" w:pos="3686"/>
                <w:tab w:val="left" w:pos="5245"/>
                <w:tab w:val="left" w:pos="8505"/>
              </w:tabs>
              <w:spacing w:beforeLines="60" w:before="144" w:after="120"/>
              <w:outlineLvl w:val="0"/>
              <w:rPr>
                <w:rFonts w:cs="Arial"/>
                <w:color w:val="000000"/>
                <w:highlight w:val="yellow"/>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Non (prière de justifier et de laisser le tableau vierge)</w:t>
            </w:r>
          </w:p>
        </w:tc>
        <w:tc>
          <w:tcPr>
            <w:tcW w:w="3191" w:type="dxa"/>
            <w:tcBorders>
              <w:top w:val="single" w:sz="4" w:space="0" w:color="auto"/>
              <w:left w:val="nil"/>
              <w:bottom w:val="single" w:sz="4" w:space="0" w:color="auto"/>
              <w:right w:val="single" w:sz="4" w:space="0" w:color="auto"/>
            </w:tcBorders>
            <w:shd w:val="clear" w:color="auto" w:fill="FFFFFF" w:themeFill="background1"/>
          </w:tcPr>
          <w:p>
            <w:pPr>
              <w:pStyle w:val="IVBETextNormal"/>
              <w:spacing w:beforeLines="60" w:before="144" w:after="120"/>
              <w:rPr>
                <w:rFonts w:cs="Arial"/>
                <w:color w:val="000000"/>
              </w:rPr>
            </w:pPr>
          </w:p>
          <w:p>
            <w:pPr>
              <w:pStyle w:val="IVBETextNormal"/>
              <w:spacing w:beforeLines="60" w:before="144" w:after="120"/>
              <w:rPr>
                <w:rFonts w:cs="Arial"/>
                <w:color w:val="000000"/>
                <w:highlight w:val="yellow"/>
              </w:rPr>
            </w:pPr>
            <w:r>
              <w:rPr>
                <w:color w:val="000000"/>
              </w:rPr>
              <w:t xml:space="preserve">Justification: </w:t>
            </w:r>
            <w:r>
              <w:rPr>
                <w:rFonts w:cs="Arial"/>
                <w:color w:val="000000"/>
                <w:highlight w:val="yellow"/>
              </w:rPr>
              <w:fldChar w:fldCharType="begin" w:fldLock="1">
                <w:ffData>
                  <w:name w:val="Text4"/>
                  <w:enabled/>
                  <w:calcOnExit w:val="0"/>
                  <w:textInput/>
                </w:ffData>
              </w:fldChar>
            </w:r>
            <w:r>
              <w:rPr>
                <w:rFonts w:cs="Arial"/>
                <w:color w:val="000000"/>
                <w:highlight w:val="yellow"/>
              </w:rPr>
              <w:instrText xml:space="preserve"> FORMTEXT </w:instrText>
            </w:r>
            <w:r>
              <w:rPr>
                <w:rFonts w:cs="Arial"/>
                <w:color w:val="000000"/>
                <w:highlight w:val="yellow"/>
              </w:rPr>
            </w:r>
            <w:r>
              <w:rPr>
                <w:rFonts w:cs="Arial"/>
                <w:color w:val="000000"/>
                <w:highlight w:val="yellow"/>
              </w:rPr>
              <w:fldChar w:fldCharType="separate"/>
            </w:r>
            <w:r>
              <w:rPr>
                <w:color w:val="000000"/>
                <w:highlight w:val="yellow"/>
              </w:rPr>
              <w:t>     </w:t>
            </w:r>
            <w:r>
              <w:rPr>
                <w:rFonts w:cs="Arial"/>
                <w:color w:val="000000"/>
                <w:highlight w:val="yellow"/>
              </w:rPr>
              <w:fldChar w:fldCharType="end"/>
            </w:r>
          </w:p>
        </w:tc>
      </w:tr>
    </w:tbl>
    <w:p>
      <w:pPr>
        <w:pStyle w:val="IVBEAufzhlung"/>
        <w:numPr>
          <w:ilvl w:val="0"/>
          <w:numId w:val="0"/>
        </w:numPr>
        <w:rPr>
          <w:lang w:eastAsia="de-CH"/>
        </w:rPr>
      </w:pPr>
    </w:p>
    <w:p>
      <w:pPr>
        <w:pStyle w:val="IVBEUntertitel"/>
        <w:numPr>
          <w:ilvl w:val="1"/>
          <w:numId w:val="4"/>
        </w:numPr>
      </w:pPr>
      <w:r>
        <w:lastRenderedPageBreak/>
        <w:t xml:space="preserve">Informations sur le salaire brut usuel sans restriction des performances </w:t>
      </w:r>
    </w:p>
    <w:p>
      <w:pPr>
        <w:pStyle w:val="IVBETextNormal"/>
        <w:rPr>
          <w:b/>
        </w:rPr>
      </w:pPr>
      <w:r>
        <w:rPr>
          <w:b/>
        </w:rPr>
        <w:t>Cette information est obligatoire si:</w:t>
      </w:r>
    </w:p>
    <w:p>
      <w:pPr>
        <w:pStyle w:val="IVBETextNormal"/>
        <w:numPr>
          <w:ilvl w:val="0"/>
          <w:numId w:val="32"/>
        </w:numPr>
      </w:pPr>
      <w:r>
        <w:t xml:space="preserve">il s’agit d’une formation professionnelle initiale ou d’un reclassement </w:t>
      </w:r>
    </w:p>
    <w:p>
      <w:pPr>
        <w:pStyle w:val="IVBETextNormal"/>
        <w:numPr>
          <w:ilvl w:val="0"/>
          <w:numId w:val="32"/>
        </w:numPr>
      </w:pPr>
      <w:r>
        <w:t xml:space="preserve">une indication de salaire a été fournie par une entreprise de stage au cours de la formation / du reclassement  </w:t>
      </w:r>
    </w:p>
    <w:p>
      <w:pPr>
        <w:pStyle w:val="IVBETextNormal"/>
        <w:numPr>
          <w:ilvl w:val="0"/>
          <w:numId w:val="32"/>
        </w:numPr>
      </w:pPr>
      <w:r>
        <w:t xml:space="preserve">l’avant-dernier rapport semestriel est établi  </w:t>
      </w:r>
    </w:p>
    <w:p>
      <w:pPr>
        <w:pStyle w:val="IVBETitel"/>
        <w:numPr>
          <w:ilvl w:val="0"/>
          <w:numId w:val="4"/>
        </w:numPr>
        <w:spacing w:before="840" w:after="360"/>
      </w:pPr>
      <w:r>
        <w:t>Mode de révision des modèles de rapport</w:t>
      </w:r>
    </w:p>
    <w:p>
      <w:pPr>
        <w:pStyle w:val="IVBETextNormal"/>
      </w:pPr>
      <w:r>
        <w:t xml:space="preserve">Les </w:t>
      </w:r>
      <w:r>
        <w:rPr>
          <w:rFonts w:cs="Arial"/>
          <w:lang w:eastAsia="de-CH"/>
        </w:rPr>
        <w:t xml:space="preserve">modèles de rapport sont révisés une fois par an si nécessaire. Les fournisseurs de prestations ont la possibilité d'envoyer leurs réactions et leurs demandes de modification par e-mail à la gestion des contrats de l'Office AI Canton de Berne jusqu'au 31 août de chaque année : </w:t>
      </w:r>
      <w:hyperlink r:id="rId28" w:history="1">
        <w:r>
          <w:rPr>
            <w:rStyle w:val="Hyperlink"/>
          </w:rPr>
          <w:t>kontraktmanagement@ivbe.ch</w:t>
        </w:r>
      </w:hyperlink>
    </w:p>
    <w:p>
      <w:pPr>
        <w:rPr>
          <w:lang w:eastAsia="en-US"/>
        </w:rPr>
      </w:pPr>
      <w:r>
        <w:br w:type="page"/>
      </w:r>
    </w:p>
    <w:p>
      <w:pPr>
        <w:pStyle w:val="IVBETitel"/>
      </w:pPr>
      <w:r>
        <w:rPr>
          <w:caps/>
        </w:rPr>
        <w:lastRenderedPageBreak/>
        <w:t>M</w:t>
      </w:r>
      <w:r>
        <w:t>odifications des modèles de rapports de la version 01.03.2024</w:t>
      </w:r>
    </w:p>
    <w:p>
      <w:pPr>
        <w:pStyle w:val="IVBETextNormal"/>
      </w:pPr>
      <w:r>
        <w:t>Suite aux commentaires des fournisseurs de prestations, les modèles de rapports ont été remaniés:</w:t>
      </w:r>
    </w:p>
    <w:p>
      <w:pPr>
        <w:pStyle w:val="IVBETextNormal"/>
        <w:spacing w:before="240" w:after="120"/>
        <w:rPr>
          <w:b/>
        </w:rPr>
      </w:pPr>
      <w:r>
        <w:rPr>
          <w:b/>
        </w:rPr>
        <w:t xml:space="preserve">Protection en écriture </w:t>
      </w:r>
    </w:p>
    <w:p>
      <w:pPr>
        <w:pStyle w:val="IVBEAufzhlung"/>
        <w:numPr>
          <w:ilvl w:val="0"/>
          <w:numId w:val="0"/>
        </w:numPr>
      </w:pPr>
      <w:r>
        <w:t xml:space="preserve">Cette protection peut être désactivée si besoin pour utiliser les commentaires, les modifications, le programme de correction de la grammaire et de l’orthographe, etc. Même en cas de suppression de la protection en écriture, la structure des modèles ne doit pas être modifiée. La suppression de passages de texte est également interdite.  Veuillez noter que la navigation au moyen des touches fléchées du clavier ne fonctionne que si la protection en écriture est activée. </w:t>
      </w:r>
    </w:p>
    <w:p>
      <w:pPr>
        <w:pStyle w:val="IVBEAufzhlung"/>
        <w:numPr>
          <w:ilvl w:val="0"/>
          <w:numId w:val="0"/>
        </w:numPr>
      </w:pPr>
    </w:p>
    <w:p>
      <w:pPr>
        <w:pStyle w:val="IVBEUntertitel"/>
        <w:numPr>
          <w:ilvl w:val="0"/>
          <w:numId w:val="0"/>
        </w:numPr>
        <w:textAlignment w:val="auto"/>
        <w:rPr>
          <w:rFonts w:eastAsiaTheme="minorHAnsi"/>
          <w:lang w:val="fr-CH"/>
        </w:rPr>
      </w:pPr>
      <w:r>
        <w:rPr>
          <w:rFonts w:eastAsiaTheme="minorHAnsi"/>
          <w:lang w:val="fr-CH"/>
        </w:rPr>
        <w:t>Instruction pour supprimer la protection contre la modification</w:t>
      </w:r>
      <w:bookmarkStart w:id="0" w:name="_GoBack"/>
      <w:bookmarkEnd w:id="0"/>
    </w:p>
    <w:p>
      <w:pPr>
        <w:pStyle w:val="IVBETextNormal"/>
        <w:rPr>
          <w:lang w:val="fr-CH"/>
        </w:rPr>
      </w:pPr>
      <w:r>
        <w:rPr>
          <w:noProof/>
          <w:lang w:val="de-CH" w:eastAsia="de-CH"/>
        </w:rPr>
        <w:drawing>
          <wp:anchor distT="0" distB="0" distL="114300" distR="114300" simplePos="0" relativeHeight="251661312" behindDoc="0" locked="0" layoutInCell="1" allowOverlap="1">
            <wp:simplePos x="0" y="0"/>
            <wp:positionH relativeFrom="margin">
              <wp:align>left</wp:align>
            </wp:positionH>
            <wp:positionV relativeFrom="paragraph">
              <wp:posOffset>33269</wp:posOffset>
            </wp:positionV>
            <wp:extent cx="5969000" cy="41135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9000" cy="411353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rPr>
          <w:lang w:val="fr-CH"/>
        </w:rPr>
      </w:pPr>
    </w:p>
    <w:p>
      <w:pPr>
        <w:pStyle w:val="IVBETextNormal"/>
      </w:pPr>
    </w:p>
    <w:p>
      <w:pPr>
        <w:pStyle w:val="IVBETextNormal"/>
      </w:pPr>
    </w:p>
    <w:p>
      <w:pPr>
        <w:pStyle w:val="IVBETextNormal"/>
        <w:rPr>
          <w:b/>
        </w:rPr>
      </w:pPr>
      <w:r>
        <w:rPr>
          <w:b/>
        </w:rPr>
        <w:t xml:space="preserve">Aperçu des prestations de coaching </w:t>
      </w:r>
    </w:p>
    <w:p>
      <w:pPr>
        <w:widowControl w:val="0"/>
        <w:numPr>
          <w:ilvl w:val="0"/>
          <w:numId w:val="1"/>
        </w:numPr>
        <w:tabs>
          <w:tab w:val="left" w:pos="5046"/>
          <w:tab w:val="right" w:pos="9526"/>
        </w:tabs>
        <w:adjustRightInd w:val="0"/>
        <w:textAlignment w:val="baseline"/>
        <w:rPr>
          <w:b/>
          <w:sz w:val="26"/>
          <w:szCs w:val="26"/>
        </w:rPr>
      </w:pPr>
      <w:r>
        <w:t xml:space="preserve">Dans cette rubrique du modèle de rapport de coaching, il est désormais indiqué (comme dans le mémento coaching) que l’aperçu des prestations de coaching doit toujours figurer dans les rapports finaux qu’il peut également être demandé si nécessaire par le ou la spécialiste en réadaptation dans le cadre </w:t>
      </w:r>
      <w:proofErr w:type="spellStart"/>
      <w:r>
        <w:t>drapport</w:t>
      </w:r>
      <w:proofErr w:type="spellEnd"/>
      <w:r>
        <w:t xml:space="preserve"> intermédiaire. Cela a permis de réduire la sélection de l’élément de commande correspondant aux options</w:t>
      </w:r>
      <w:proofErr w:type="gramStart"/>
      <w:r>
        <w:t xml:space="preserve"> «OUI</w:t>
      </w:r>
      <w:proofErr w:type="gramEnd"/>
      <w:r>
        <w:t xml:space="preserve">» et «NON». </w:t>
      </w:r>
    </w:p>
    <w:p>
      <w:pPr>
        <w:pStyle w:val="IVBETextNormal"/>
        <w:rPr>
          <w:lang w:eastAsia="de-CH"/>
        </w:rPr>
      </w:pPr>
    </w:p>
    <w:sectPr>
      <w:footerReference w:type="default" r:id="rId30"/>
      <w:headerReference w:type="first" r:id="rId31"/>
      <w:footerReference w:type="first" r:id="rId32"/>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BEKopfFolgeseiteHoch"/>
      <w:rPr>
        <w:lang w:val="fr-CH"/>
      </w:rPr>
    </w:pPr>
    <w:r>
      <w:tab/>
    </w:r>
    <w:r>
      <w:rPr>
        <w:lang w:val="fr-CH"/>
      </w:rPr>
      <w:t xml:space="preserve">iv|ai be | Guide pratique - </w:t>
    </w:r>
    <w:r>
      <w:t>Modèles de rapport</w:t>
    </w:r>
    <w:r>
      <w:rPr>
        <w:lang w:val="fr-CH"/>
      </w:rPr>
      <w:t xml:space="preserve"> | </w:t>
    </w:r>
    <w:r>
      <w:t>01.03.2024</w:t>
    </w:r>
    <w:r>
      <w:rPr>
        <w:lang w:val="fr-CH"/>
      </w:rPr>
      <w:t xml:space="preserve">| </w:t>
    </w:r>
    <w:bookmarkStart w:id="1" w:name="autor"/>
    <w:bookmarkEnd w:id="1"/>
    <w:r>
      <w:rPr>
        <w:lang w:val="fr-CH"/>
      </w:rPr>
      <w:tab/>
      <w:t xml:space="preserve">Page </w:t>
    </w:r>
    <w:r>
      <w:fldChar w:fldCharType="begin"/>
    </w:r>
    <w:r>
      <w:rPr>
        <w:lang w:val="fr-CH"/>
      </w:rPr>
      <w:instrText xml:space="preserve"> PAGE </w:instrText>
    </w:r>
    <w:r>
      <w:fldChar w:fldCharType="separate"/>
    </w:r>
    <w:r>
      <w:rPr>
        <w:noProof/>
        <w:lang w:val="fr-CH"/>
      </w:rPr>
      <w:t>4</w:t>
    </w:r>
    <w:r>
      <w:fldChar w:fldCharType="end"/>
    </w:r>
    <w:r>
      <w:rPr>
        <w:lang w:val="fr-CH"/>
      </w:rPr>
      <w:t>/</w:t>
    </w:r>
    <w:r>
      <w:fldChar w:fldCharType="begin"/>
    </w:r>
    <w:r>
      <w:rPr>
        <w:lang w:val="fr-CH"/>
      </w:rPr>
      <w:instrText xml:space="preserve"> NUMPAGES </w:instrText>
    </w:r>
    <w:r>
      <w:fldChar w:fldCharType="separate"/>
    </w:r>
    <w:r>
      <w:rPr>
        <w:noProof/>
        <w:lang w:val="fr-CH"/>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BEKopfSeite1Hoch"/>
      <w:rPr>
        <w:lang w:val="de-CH"/>
      </w:rPr>
    </w:pPr>
    <w:r>
      <w:tab/>
    </w:r>
    <w:bookmarkStart w:id="2" w:name="Fusszeile"/>
    <w:r>
      <w:rPr>
        <w:lang w:val="de-CH"/>
      </w:rPr>
      <w:t>IV-Stelle Kanton Bern, Scheibenstrasse 70, 3001 Bern</w:t>
    </w:r>
    <w:r>
      <w:rPr>
        <w:lang w:val="de-CH"/>
      </w:rPr>
      <w:tab/>
      <w:t>Office AI Canton de Berne, Scheibenstrasse 70, 3001 Berne</w:t>
    </w:r>
  </w:p>
  <w:p>
    <w:pPr>
      <w:pStyle w:val="IVBEKopfSeite1Hoch"/>
    </w:pPr>
    <w:r>
      <w:rPr>
        <w:rStyle w:val="IVBEDokuCode"/>
      </w:rPr>
      <w:t>1.0.0.000</w:t>
    </w:r>
    <w:r>
      <w:tab/>
      <w:t>T 058 219 71 11, info@ivbe.ch, www.ivbe.ch</w:t>
    </w:r>
    <w:r>
      <w:tab/>
      <w:t>T 058 219 71 11, info@aibe.ch, www.aibe.ch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CH" w:eastAsia="de-CH"/>
      </w:rPr>
      <w:drawing>
        <wp:anchor distT="0" distB="0" distL="114300" distR="114300" simplePos="0" relativeHeight="251658240" behindDoc="0" locked="0" layoutInCell="1" allowOverlap="1">
          <wp:simplePos x="0" y="0"/>
          <wp:positionH relativeFrom="page">
            <wp:posOffset>4286250</wp:posOffset>
          </wp:positionH>
          <wp:positionV relativeFrom="page">
            <wp:posOffset>247650</wp:posOffset>
          </wp:positionV>
          <wp:extent cx="1656000" cy="6084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56000" cy="608400"/>
                  </a:xfrm>
                  <a:prstGeom prst="rect">
                    <a:avLst/>
                  </a:prstGeom>
                  <a:no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960"/>
    <w:multiLevelType w:val="hybridMultilevel"/>
    <w:tmpl w:val="6C7E852C"/>
    <w:lvl w:ilvl="0" w:tplc="F6769B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46C13"/>
    <w:multiLevelType w:val="hybridMultilevel"/>
    <w:tmpl w:val="F27E5EB6"/>
    <w:lvl w:ilvl="0" w:tplc="483A684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8319DD"/>
    <w:multiLevelType w:val="multilevel"/>
    <w:tmpl w:val="323458CA"/>
    <w:styleLink w:val="Formatvorlage1"/>
    <w:lvl w:ilvl="0">
      <w:start w:val="1"/>
      <w:numFmt w:val="decimal"/>
      <w:lvlText w:val="%1"/>
      <w:lvlJc w:val="left"/>
      <w:pPr>
        <w:ind w:left="567" w:hanging="567"/>
      </w:pPr>
      <w:rPr>
        <w:rFonts w:ascii="Arial" w:hAnsi="Arial" w:hint="default"/>
        <w:b/>
        <w:i w:val="0"/>
        <w:sz w:val="26"/>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2E2F70F8"/>
    <w:multiLevelType w:val="multilevel"/>
    <w:tmpl w:val="30327A96"/>
    <w:lvl w:ilvl="0">
      <w:start w:val="1"/>
      <w:numFmt w:val="ordinal"/>
      <w:lvlText w:val="%1"/>
      <w:lvlJc w:val="left"/>
      <w:pPr>
        <w:tabs>
          <w:tab w:val="num" w:pos="567"/>
        </w:tabs>
        <w:ind w:left="0" w:firstLine="0"/>
      </w:pPr>
      <w:rPr>
        <w:rFonts w:ascii="Arial" w:hAnsi="Arial" w:hint="default"/>
        <w:b/>
        <w:i w:val="0"/>
        <w:sz w:val="26"/>
      </w:rPr>
    </w:lvl>
    <w:lvl w:ilvl="1">
      <w:start w:val="1"/>
      <w:numFmt w:val="ordinal"/>
      <w:lvlText w:val="%1%2"/>
      <w:lvlJc w:val="left"/>
      <w:pPr>
        <w:tabs>
          <w:tab w:val="num" w:pos="567"/>
        </w:tabs>
        <w:ind w:left="0" w:firstLine="0"/>
      </w:pPr>
      <w:rPr>
        <w:rFonts w:hint="default"/>
      </w:rPr>
    </w:lvl>
    <w:lvl w:ilvl="2">
      <w:start w:val="1"/>
      <w:numFmt w:val="ordinal"/>
      <w:lvlText w:val="%1%2%3"/>
      <w:lvlJc w:val="left"/>
      <w:pPr>
        <w:tabs>
          <w:tab w:val="num" w:pos="567"/>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C73BA0"/>
    <w:multiLevelType w:val="hybridMultilevel"/>
    <w:tmpl w:val="572A3C9C"/>
    <w:lvl w:ilvl="0" w:tplc="628C090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C193FD8"/>
    <w:multiLevelType w:val="hybridMultilevel"/>
    <w:tmpl w:val="ED1CEFC2"/>
    <w:lvl w:ilvl="0" w:tplc="628C090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914D3"/>
    <w:multiLevelType w:val="multilevel"/>
    <w:tmpl w:val="898C573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851"/>
        </w:tabs>
        <w:ind w:left="284" w:firstLine="0"/>
      </w:pPr>
      <w:rPr>
        <w:rFonts w:ascii="Arial" w:hAnsi="Arial" w:hint="default"/>
        <w:b/>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712EF0"/>
    <w:multiLevelType w:val="multilevel"/>
    <w:tmpl w:val="270406D4"/>
    <w:lvl w:ilvl="0">
      <w:start w:val="1"/>
      <w:numFmt w:val="ordinal"/>
      <w:pStyle w:val="IVBETextnormalNumFett"/>
      <w:lvlText w:val="%1"/>
      <w:lvlJc w:val="left"/>
      <w:pPr>
        <w:tabs>
          <w:tab w:val="num" w:pos="567"/>
        </w:tabs>
        <w:ind w:left="0" w:firstLine="0"/>
      </w:pPr>
      <w:rPr>
        <w:rFonts w:hint="default"/>
        <w:b/>
        <w:i w:val="0"/>
        <w:sz w:val="20"/>
      </w:rPr>
    </w:lvl>
    <w:lvl w:ilvl="1">
      <w:start w:val="1"/>
      <w:numFmt w:val="ordinal"/>
      <w:lvlText w:val="%1%2"/>
      <w:lvlJc w:val="left"/>
      <w:pPr>
        <w:tabs>
          <w:tab w:val="num" w:pos="709"/>
        </w:tabs>
        <w:ind w:left="709" w:hanging="567"/>
      </w:pPr>
      <w:rPr>
        <w:rFonts w:hint="default"/>
      </w:rPr>
    </w:lvl>
    <w:lvl w:ilvl="2">
      <w:start w:val="1"/>
      <w:numFmt w:val="none"/>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6"/>
  </w:num>
  <w:num w:numId="2">
    <w:abstractNumId w:val="8"/>
  </w:num>
  <w:num w:numId="3">
    <w:abstractNumId w:val="2"/>
  </w:num>
  <w:num w:numId="4">
    <w:abstractNumId w:val="7"/>
  </w:num>
  <w:num w:numId="5">
    <w:abstractNumId w:val="7"/>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7"/>
  </w:num>
  <w:num w:numId="16">
    <w:abstractNumId w:val="6"/>
  </w:num>
  <w:num w:numId="17">
    <w:abstractNumId w:val="7"/>
  </w:num>
  <w:num w:numId="18">
    <w:abstractNumId w:val="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4"/>
  </w:num>
  <w:num w:numId="33">
    <w:abstractNumId w:val="0"/>
  </w:num>
  <w:num w:numId="34">
    <w:abstractNumId w:val="5"/>
  </w:num>
  <w:num w:numId="35">
    <w:abstractNumId w:val="1"/>
  </w:num>
  <w:num w:numId="36">
    <w:abstractNumId w:val="6"/>
  </w:num>
  <w:num w:numId="37">
    <w:abstractNumId w:val="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documentProtection w:edit="readOnly" w:enforcement="0"/>
  <w:defaultTabStop w:val="709"/>
  <w:autoHyphenation/>
  <w:hyphenationZone w:val="425"/>
  <w:clickAndTypeStyle w:val="IVBETextNormal"/>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semiHidden="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1" w:semiHidden="1" w:unhideWhenUsed="1"/>
    <w:lsdException w:name="footer" w:locked="1"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widowControl w:val="0"/>
      <w:tabs>
        <w:tab w:val="left" w:pos="5046"/>
        <w:tab w:val="right" w:pos="9526"/>
      </w:tabs>
      <w:adjustRightInd w:val="0"/>
      <w:textAlignment w:val="baseline"/>
    </w:pPr>
    <w:rPr>
      <w:lang w:eastAsia="en-US"/>
    </w:rPr>
  </w:style>
  <w:style w:type="paragraph" w:customStyle="1" w:styleId="IVBEAbsender">
    <w:name w:val="IVBE_Absender"/>
    <w:basedOn w:val="IVBETextNormal"/>
    <w:link w:val="IVBEAbsenderZchn"/>
    <w:qFormat/>
    <w:pPr>
      <w:tabs>
        <w:tab w:val="clear" w:pos="5046"/>
        <w:tab w:val="right" w:pos="4876"/>
        <w:tab w:val="left" w:pos="4990"/>
      </w:tabs>
      <w:spacing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line="240" w:lineRule="exact"/>
    </w:pPr>
  </w:style>
  <w:style w:type="paragraph" w:customStyle="1" w:styleId="IVBEAufzhlung">
    <w:name w:val="IVBE_Aufzählung"/>
    <w:basedOn w:val="IVBETextNormal"/>
    <w:link w:val="IVBEAufzhlungZchn"/>
    <w:qFormat/>
    <w:pPr>
      <w:numPr>
        <w:numId w:val="1"/>
      </w:numPr>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tabs>
        <w:tab w:val="clear" w:pos="5046"/>
      </w:tabs>
      <w:spacing w:before="84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pPr>
      <w:spacing w:line="240" w:lineRule="auto"/>
    </w:pPr>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keepNext/>
      <w:widowControl/>
      <w:spacing w:after="28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pPr>
    <w:rPr>
      <w:rFonts w:cs="ArialMT"/>
      <w:szCs w:val="10"/>
    </w:rPr>
  </w:style>
  <w:style w:type="paragraph" w:customStyle="1" w:styleId="IVBEKopfFolgeseiteHoch">
    <w:name w:val="IVBE_Kopf Folgeseite_Hoch"/>
    <w:basedOn w:val="IVBEKopfSeite1Hoch"/>
    <w:link w:val="IVBEKopfFolgeseiteHochZchn"/>
    <w:qFormat/>
    <w:pPr>
      <w:tabs>
        <w:tab w:val="clear" w:pos="4990"/>
        <w:tab w:val="clear" w:pos="9526"/>
        <w:tab w:val="left" w:pos="8505"/>
      </w:tabs>
    </w:p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after="0"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keepNext/>
      <w:tabs>
        <w:tab w:val="clear" w:pos="5046"/>
        <w:tab w:val="left" w:pos="567"/>
        <w:tab w:val="left" w:pos="3969"/>
        <w:tab w:val="left" w:pos="7484"/>
      </w:tabs>
      <w:outlineLvl w:val="1"/>
    </w:pPr>
    <w:rPr>
      <w:szCs w:val="22"/>
      <w:lang w:eastAsia="de-CH"/>
    </w:rPr>
  </w:style>
  <w:style w:type="paragraph" w:customStyle="1" w:styleId="IVBETextnormalNumFett">
    <w:name w:val="IVBE_Text normal_NumFett"/>
    <w:basedOn w:val="IVBETextnormalNum"/>
    <w:next w:val="IVBETextNormal"/>
    <w:link w:val="IVBETextnormalNumFettZchn"/>
    <w:qFormat/>
    <w:pPr>
      <w:numPr>
        <w:numId w:val="2"/>
      </w:numPr>
      <w:outlineLvl w:val="0"/>
    </w:pPr>
    <w:rPr>
      <w:b/>
    </w:rPr>
  </w:style>
  <w:style w:type="paragraph" w:customStyle="1" w:styleId="IVBETitel">
    <w:name w:val="IVBE_Titel"/>
    <w:basedOn w:val="IVBETextNormal"/>
    <w:next w:val="IVBETextNormal"/>
    <w:link w:val="IVBETitelZchn"/>
    <w:qFormat/>
    <w:pPr>
      <w:keepNext/>
      <w:numPr>
        <w:numId w:val="7"/>
      </w:numPr>
      <w:tabs>
        <w:tab w:val="clear" w:pos="5046"/>
        <w:tab w:val="left" w:pos="4990"/>
      </w:tabs>
      <w:spacing w:line="240" w:lineRule="exact"/>
      <w:outlineLvl w:val="0"/>
    </w:pPr>
    <w:rPr>
      <w:b/>
      <w:sz w:val="26"/>
      <w:szCs w:val="22"/>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7"/>
      </w:numPr>
      <w:tabs>
        <w:tab w:val="clear" w:pos="5046"/>
        <w:tab w:val="left" w:pos="4990"/>
      </w:tabs>
      <w:spacing w:line="240" w:lineRule="auto"/>
      <w:outlineLvl w:val="1"/>
    </w:pPr>
    <w:rPr>
      <w:rFonts w:cs="Arial"/>
      <w:b/>
      <w:szCs w:val="22"/>
      <w:lang w:eastAsia="de-CH"/>
    </w:rPr>
  </w:style>
  <w:style w:type="paragraph" w:customStyle="1" w:styleId="IVBEUntertitel2">
    <w:name w:val="IVBE_Untertitel 2"/>
    <w:basedOn w:val="IVBEUntertitel"/>
    <w:next w:val="IVBETextNormal"/>
    <w:link w:val="IVBEUntertitel2Zchn"/>
    <w:qFormat/>
    <w:pPr>
      <w:numPr>
        <w:ilvl w:val="2"/>
      </w:numPr>
      <w:tabs>
        <w:tab w:val="clear" w:pos="851"/>
        <w:tab w:val="num" w:pos="567"/>
      </w:tabs>
      <w:ind w:left="0"/>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Pr>
      <w:rFonts w:eastAsia="Times New Roman" w:cs="Times New Roman"/>
      <w:lang w:val="fr-FR" w:eastAsia="de-DE"/>
    </w:rPr>
  </w:style>
  <w:style w:type="character" w:customStyle="1" w:styleId="IVBEUntertitelZchn">
    <w:name w:val="IVBE_Untertitel Zchn"/>
    <w:basedOn w:val="Absatz-Standardschriftart"/>
    <w:link w:val="IVBEUntertitel"/>
    <w:rPr>
      <w:rFonts w:eastAsia="Times New Roman" w:cs="Arial"/>
      <w:b/>
      <w:szCs w:val="22"/>
      <w:lang w:eastAsia="de-CH"/>
    </w:rPr>
  </w:style>
  <w:style w:type="character" w:customStyle="1" w:styleId="IVBETitelZchn">
    <w:name w:val="IVBE_Titel Zchn"/>
    <w:basedOn w:val="Absatz-Standardschriftart"/>
    <w:link w:val="IVBETitel"/>
    <w:rPr>
      <w:rFonts w:eastAsia="Times New Roman" w:cs="Times New Roman"/>
      <w:b/>
      <w:sz w:val="26"/>
      <w:szCs w:val="22"/>
    </w:rPr>
  </w:style>
  <w:style w:type="character" w:customStyle="1" w:styleId="IVBEUntertitel2Zchn">
    <w:name w:val="IVBE_Untertitel 2 Zchn"/>
    <w:basedOn w:val="IVBEUntertitelZchn"/>
    <w:link w:val="IVBEUntertitel2"/>
    <w:rPr>
      <w:rFonts w:eastAsia="Times New Roman" w:cs="Arial"/>
      <w:b/>
      <w:szCs w:val="22"/>
      <w:lang w:eastAsia="de-CH"/>
    </w:rPr>
  </w:style>
  <w:style w:type="character" w:customStyle="1" w:styleId="IVBETextNormalZchn">
    <w:name w:val="IVBE_Text Normal Zchn"/>
    <w:basedOn w:val="Absatz-Standardschriftart"/>
    <w:link w:val="IVBETextNormal"/>
    <w:rPr>
      <w:rFonts w:eastAsia="Times New Roman" w:cs="Times New Roman"/>
    </w:rPr>
  </w:style>
  <w:style w:type="character" w:customStyle="1" w:styleId="IVBEAbsenderZchn">
    <w:name w:val="IVBE_Absender Zchn"/>
    <w:basedOn w:val="IVBETextNormalZchn"/>
    <w:link w:val="IVBEAbsender"/>
    <w:rPr>
      <w:rFonts w:eastAsia="Times New Roman" w:cs="Times New Roman"/>
      <w:sz w:val="16"/>
    </w:rPr>
  </w:style>
  <w:style w:type="character" w:customStyle="1" w:styleId="IVBEAnschriftZchn">
    <w:name w:val="IVBE_Anschrift Zchn"/>
    <w:basedOn w:val="IVBETextNormalZchn"/>
    <w:link w:val="IVBEAnschrift"/>
    <w:rPr>
      <w:rFonts w:eastAsia="Times New Roman" w:cs="Times New Roman"/>
    </w:rPr>
  </w:style>
  <w:style w:type="paragraph" w:customStyle="1" w:styleId="IVBEArztbericht">
    <w:name w:val="IVBE_Arztbericht"/>
    <w:basedOn w:val="IVBETextNormal"/>
    <w:next w:val="IVBETextNormal"/>
    <w:link w:val="IVBEArztberichtZchn"/>
    <w:pPr>
      <w:tabs>
        <w:tab w:val="clear" w:pos="5046"/>
        <w:tab w:val="left" w:pos="340"/>
        <w:tab w:val="left" w:pos="1134"/>
        <w:tab w:val="left" w:pos="3260"/>
        <w:tab w:val="left" w:pos="5245"/>
        <w:tab w:val="left" w:pos="5528"/>
        <w:tab w:val="left" w:pos="6237"/>
        <w:tab w:val="left" w:pos="8363"/>
      </w:tabs>
      <w:spacing w:after="120" w:line="240" w:lineRule="auto"/>
    </w:pPr>
    <w:rPr>
      <w:lang w:eastAsia="de-CH"/>
    </w:rPr>
  </w:style>
  <w:style w:type="character" w:customStyle="1" w:styleId="IVBEArztberichtZchn">
    <w:name w:val="IVBE_Arztbericht Zchn"/>
    <w:basedOn w:val="IVBETextNormalZchn"/>
    <w:link w:val="IVBEArztbericht"/>
    <w:rPr>
      <w:rFonts w:eastAsia="Times New Roman" w:cs="Times New Roman"/>
      <w:lang w:eastAsia="de-CH"/>
    </w:rPr>
  </w:style>
  <w:style w:type="character" w:customStyle="1" w:styleId="IVBEAufzhlungZchn">
    <w:name w:val="IVBE_Aufzählung Zchn"/>
    <w:basedOn w:val="IVBETextNormalZchn"/>
    <w:link w:val="IVBEAufzhlung"/>
    <w:rPr>
      <w:rFonts w:eastAsia="Times New Roman" w:cs="Times New Roman"/>
    </w:rPr>
  </w:style>
  <w:style w:type="character" w:customStyle="1" w:styleId="IVBEAuswahltextZchn">
    <w:name w:val="IVBE_Auswahltext Zchn"/>
    <w:basedOn w:val="IVBETextNormalZchn"/>
    <w:link w:val="IVBEAuswahltext"/>
    <w:rPr>
      <w:rFonts w:eastAsia="Times New Roman" w:cs="Times New Roman"/>
    </w:rPr>
  </w:style>
  <w:style w:type="character" w:customStyle="1" w:styleId="IVBEBeilagenZchn">
    <w:name w:val="IVBE_Beilagen Zchn"/>
    <w:basedOn w:val="IVBETextNormalZchn"/>
    <w:link w:val="IVBEBeilagen"/>
    <w:rPr>
      <w:rFonts w:eastAsia="Times New Roman" w:cs="Times New Roman"/>
    </w:rPr>
  </w:style>
  <w:style w:type="character" w:customStyle="1" w:styleId="IVBEBetreffZchn">
    <w:name w:val="IVBE_Betreff Zchn"/>
    <w:basedOn w:val="IVBETextNormalZchn"/>
    <w:link w:val="IVBEBetreff"/>
    <w:rPr>
      <w:rFonts w:eastAsia="Times New Roman" w:cs="Times New Roman"/>
      <w:b/>
    </w:rPr>
  </w:style>
  <w:style w:type="character" w:customStyle="1" w:styleId="IVBEDatumZchn">
    <w:name w:val="IVBE_Datum Zchn"/>
    <w:basedOn w:val="IVBETextNormalZchn"/>
    <w:link w:val="IVBEDatum"/>
    <w:rPr>
      <w:rFonts w:eastAsia="Times New Roman" w:cs="Times New Roman"/>
    </w:rPr>
  </w:style>
  <w:style w:type="character" w:customStyle="1" w:styleId="IVBEKopfFolgeseiteHochZchn">
    <w:name w:val="IVBE_Kopf Folgeseite_Hoch Zchn"/>
    <w:basedOn w:val="IVBETextNormalZchn"/>
    <w:link w:val="IVBEKopfFolgeseiteHoch"/>
    <w:rPr>
      <w:rFonts w:eastAsia="Times New Roman" w:cs="Times New Roman"/>
      <w:sz w:val="16"/>
    </w:rPr>
  </w:style>
  <w:style w:type="paragraph" w:customStyle="1" w:styleId="OSIVFussPosLinks">
    <w:name w:val="OSIV_Fuss_Pos_Links"/>
    <w:basedOn w:val="Standard"/>
    <w:qFormat/>
    <w:pPr>
      <w:framePr w:w="4706" w:wrap="around" w:vAnchor="page" w:hAnchor="page" w:x="1645" w:y="16104" w:anchorLock="1"/>
      <w:tabs>
        <w:tab w:val="right" w:pos="4876"/>
        <w:tab w:val="right" w:pos="9526"/>
      </w:tabs>
      <w:spacing w:after="0" w:line="210" w:lineRule="exact"/>
    </w:pPr>
    <w:rPr>
      <w:sz w:val="16"/>
      <w:lang w:eastAsia="en-US"/>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line="210" w:lineRule="exact"/>
      <w:jc w:val="center"/>
    </w:pPr>
    <w:rPr>
      <w:sz w:val="16"/>
    </w:rPr>
  </w:style>
  <w:style w:type="paragraph" w:customStyle="1" w:styleId="RahmenOCR-Code">
    <w:name w:val="Rahmen OCR-Code"/>
    <w:pPr>
      <w:framePr w:w="3402" w:h="340" w:hSpace="142" w:vSpace="142" w:wrap="notBeside" w:vAnchor="page" w:hAnchor="margin" w:y="568" w:anchorLock="1"/>
      <w:spacing w:after="0" w:line="240" w:lineRule="auto"/>
    </w:pPr>
    <w:rPr>
      <w:rFonts w:ascii="OCR_B" w:eastAsia="Times New Roman" w:hAnsi="OCR_B" w:cs="Times New Roman"/>
      <w:noProof/>
      <w:lang w:eastAsia="de-DE"/>
    </w:rPr>
  </w:style>
  <w:style w:type="table" w:customStyle="1" w:styleId="Tabellenraster2">
    <w:name w:val="Tabellenraster2"/>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basedOn w:val="IVBETextNormalZchn"/>
    <w:link w:val="IVBEFussnote"/>
    <w:rPr>
      <w:rFonts w:eastAsia="Times New Roman" w:cs="Times New Roman"/>
    </w:rPr>
  </w:style>
  <w:style w:type="character" w:customStyle="1" w:styleId="IVBEFussnotenzeichenZchn">
    <w:name w:val="IVBE_Fussnotenzeichen Zchn"/>
    <w:basedOn w:val="IVBEFussnoteZchn"/>
    <w:link w:val="IVBEFussnotenzeichen"/>
    <w:rPr>
      <w:rFonts w:eastAsia="Times New Roman" w:cs="Times New Roman"/>
      <w:vertAlign w:val="superscript"/>
    </w:rPr>
  </w:style>
  <w:style w:type="character" w:customStyle="1" w:styleId="IVBEGrussformelZchn">
    <w:name w:val="IVBE_Grussformel Zchn"/>
    <w:basedOn w:val="IVBETextNormalZchn"/>
    <w:link w:val="IVBEGrussformel"/>
    <w:rPr>
      <w:rFonts w:eastAsia="Times New Roman" w:cs="Times New Roman"/>
    </w:rPr>
  </w:style>
  <w:style w:type="character" w:customStyle="1" w:styleId="IVBEHaupttitelZchn">
    <w:name w:val="IVBE_Haupttitel Zchn"/>
    <w:basedOn w:val="IVBETextNormalZchn"/>
    <w:link w:val="IVBEHaupttitel"/>
    <w:rPr>
      <w:rFonts w:eastAsia="Times New Roman" w:cs="Times New Roman"/>
      <w:b/>
      <w:sz w:val="36"/>
    </w:rPr>
  </w:style>
  <w:style w:type="character" w:customStyle="1" w:styleId="IVBEInhaltZchn">
    <w:name w:val="IVBE_Inhalt Zchn"/>
    <w:basedOn w:val="IVBETextNormalZchn"/>
    <w:link w:val="IVBEInhalt"/>
    <w:rPr>
      <w:rFonts w:eastAsia="Times New Roman" w:cs="ArialMT"/>
      <w:szCs w:val="10"/>
    </w:rPr>
  </w:style>
  <w:style w:type="character" w:customStyle="1" w:styleId="IVBEKopfFolgeseiteQuerZchn">
    <w:name w:val="IVBE_Kopf Folgeseite_Quer Zchn"/>
    <w:basedOn w:val="IVBEKopfFolgeseiteHochZchn"/>
    <w:link w:val="IVBEKopfFolgeseiteQuer"/>
    <w:rPr>
      <w:rFonts w:eastAsia="Times New Roman" w:cs="Times New Roman"/>
      <w:sz w:val="16"/>
    </w:rPr>
  </w:style>
  <w:style w:type="character" w:customStyle="1" w:styleId="IVBEKopfSeite1HochZchn">
    <w:name w:val="IVBE_Kopf Seite1_Hoch Zchn"/>
    <w:basedOn w:val="IVBETextNormalZchn"/>
    <w:link w:val="IVBEKopfSeite1Hoch"/>
    <w:rPr>
      <w:rFonts w:eastAsia="Times New Roman" w:cs="Times New Roman"/>
      <w:sz w:val="16"/>
    </w:rPr>
  </w:style>
  <w:style w:type="character" w:customStyle="1" w:styleId="IVBEKopfSeite1QuerZchn">
    <w:name w:val="IVBE_Kopf Seite1_Quer Zchn"/>
    <w:basedOn w:val="IVBEKopfFolgeseiteQuerZchn"/>
    <w:link w:val="IVBEKopfSeite1Quer"/>
    <w:rPr>
      <w:rFonts w:eastAsia="Times New Roman" w:cs="Times New Roman"/>
      <w:sz w:val="16"/>
    </w:rPr>
  </w:style>
  <w:style w:type="character" w:customStyle="1" w:styleId="IVBESendeartZchn">
    <w:name w:val="IVBE_Sendeart Zchn"/>
    <w:basedOn w:val="IVBEAnschriftZchn"/>
    <w:link w:val="IVBESendeart"/>
    <w:rPr>
      <w:rFonts w:eastAsia="Times New Roman" w:cs="Times New Roman"/>
      <w:b/>
    </w:rPr>
  </w:style>
  <w:style w:type="character" w:customStyle="1" w:styleId="IVBETextkleinZchn">
    <w:name w:val="IVBE_Text klein Zchn"/>
    <w:basedOn w:val="IVBEAnschriftZchn"/>
    <w:link w:val="IVBETextklein"/>
    <w:rPr>
      <w:rFonts w:eastAsia="Times New Roman" w:cs="Times New Roman"/>
      <w:sz w:val="16"/>
    </w:rPr>
  </w:style>
  <w:style w:type="character" w:customStyle="1" w:styleId="IVBETextnormalNumZchn">
    <w:name w:val="IVBE_Text normal_Num Zchn"/>
    <w:basedOn w:val="IVBETextNormalZchn"/>
    <w:link w:val="IVBETextnormalNum"/>
    <w:rPr>
      <w:rFonts w:eastAsia="Times New Roman" w:cs="Times New Roman"/>
      <w:szCs w:val="22"/>
      <w:lang w:eastAsia="de-CH"/>
    </w:rPr>
  </w:style>
  <w:style w:type="character" w:customStyle="1" w:styleId="IVBETextnormalNumFettZchn">
    <w:name w:val="IVBE_Text normal_NumFett Zchn"/>
    <w:basedOn w:val="IVBETextnormalNumZchn"/>
    <w:link w:val="IVBETextnormalNumFett"/>
    <w:rPr>
      <w:rFonts w:eastAsia="Times New Roman" w:cs="Times New Roman"/>
      <w:b/>
      <w:szCs w:val="22"/>
      <w:lang w:eastAsia="de-CH"/>
    </w:rPr>
  </w:style>
  <w:style w:type="character" w:customStyle="1" w:styleId="IVBEbertitelZchn">
    <w:name w:val="IVBE_Übertitel Zchn"/>
    <w:basedOn w:val="IVBETextNormalZchn"/>
    <w:link w:val="IVBEbertitel"/>
    <w:rPr>
      <w:rFonts w:eastAsia="Times New Roman" w:cs="Times New Roman"/>
      <w:sz w:val="36"/>
    </w:rPr>
  </w:style>
  <w:style w:type="paragraph" w:customStyle="1" w:styleId="OSIVVisum">
    <w:name w:val="OSIV_Visum"/>
    <w:basedOn w:val="IVBETextNormal"/>
    <w:qFormat/>
    <w:pPr>
      <w:keepNext/>
      <w:keepLines/>
      <w:spacing w:after="60" w:line="240" w:lineRule="auto"/>
    </w:p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basedOn w:val="IVBETextNormalZchn"/>
    <w:link w:val="IVBETextnormalBem"/>
    <w:rPr>
      <w:rFonts w:eastAsia="Times New Roman" w:cs="Times New Roman"/>
    </w:rPr>
  </w:style>
  <w:style w:type="paragraph" w:customStyle="1" w:styleId="IVBERechnung">
    <w:name w:val="IVBE_Rechnung"/>
    <w:basedOn w:val="IVBETextNormal"/>
    <w:link w:val="IVBERechnungZchn"/>
    <w:qFormat/>
    <w:pPr>
      <w:tabs>
        <w:tab w:val="left" w:pos="113"/>
        <w:tab w:val="left" w:pos="1276"/>
      </w:tabs>
      <w:spacing w:after="60" w:line="190" w:lineRule="exact"/>
    </w:pPr>
    <w:rPr>
      <w:sz w:val="14"/>
    </w:rPr>
  </w:style>
  <w:style w:type="character" w:customStyle="1" w:styleId="IVBERechnungZchn">
    <w:name w:val="IVBE_Rechnung Zchn"/>
    <w:basedOn w:val="IVBETextNormalZchn"/>
    <w:link w:val="IVBERechnung"/>
    <w:rPr>
      <w:rFonts w:eastAsia="Times New Roman" w:cs="Times New Roman"/>
      <w:sz w:val="14"/>
    </w:rPr>
  </w:style>
  <w:style w:type="paragraph" w:customStyle="1" w:styleId="IVBETextNormalFett">
    <w:name w:val="IVBE_Text Normal + Fett"/>
    <w:basedOn w:val="IVBETextNormal"/>
    <w:pPr>
      <w:keepNext/>
    </w:pPr>
    <w:rPr>
      <w:b/>
      <w:bCs/>
    </w:rPr>
  </w:style>
  <w:style w:type="numbering" w:customStyle="1" w:styleId="Formatvorlage1">
    <w:name w:val="Formatvorlage1"/>
    <w:uiPriority w:val="99"/>
    <w:pPr>
      <w:numPr>
        <w:numId w:val="3"/>
      </w:numPr>
    </w:pPr>
  </w:style>
  <w:style w:type="paragraph" w:styleId="Fuzeile">
    <w:name w:val="footer"/>
    <w:basedOn w:val="Standard"/>
    <w:link w:val="FuzeileZchn"/>
    <w:uiPriority w:val="99"/>
    <w:semiHidden/>
    <w:lock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Pr>
      <w:rFonts w:eastAsia="Times New Roman" w:cs="Times New Roman"/>
      <w:lang w:val="fr-FR" w:eastAsia="de-DE"/>
    </w:rPr>
  </w:style>
  <w:style w:type="paragraph" w:styleId="Sprechblasentext">
    <w:name w:val="Balloon Text"/>
    <w:basedOn w:val="Standard"/>
    <w:link w:val="SprechblasentextZchn"/>
    <w:uiPriority w:val="99"/>
    <w:semiHidden/>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fr-FR"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pPr>
      <w:spacing w:line="240" w:lineRule="auto"/>
    </w:pPr>
  </w:style>
  <w:style w:type="character" w:customStyle="1" w:styleId="KommentartextZchn">
    <w:name w:val="Kommentartext Zchn"/>
    <w:basedOn w:val="Absatz-Standardschriftart"/>
    <w:link w:val="Kommentartext"/>
    <w:uiPriority w:val="99"/>
    <w:semiHidden/>
    <w:rPr>
      <w:rFonts w:eastAsia="Times New Roman" w:cs="Times New Roman"/>
      <w:lang w:val="fr-FR"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eastAsia="Times New Roman" w:cs="Times New Roman"/>
      <w:b/>
      <w:bCs/>
      <w:lang w:val="fr-FR" w:eastAsia="de-DE"/>
    </w:rPr>
  </w:style>
  <w:style w:type="table" w:customStyle="1" w:styleId="Tabellenraster1">
    <w:name w:val="Tabellenraster1"/>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eastAsia="Times New Roman" w:cs="Times New Roman"/>
      <w:lang w:eastAsia="de-DE"/>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rPr>
      <w:color w:val="800080" w:themeColor="followedHyperlink"/>
      <w:u w:val="single"/>
    </w:rPr>
  </w:style>
  <w:style w:type="paragraph" w:customStyle="1" w:styleId="Default">
    <w:name w:val="Default"/>
    <w:pPr>
      <w:autoSpaceDE w:val="0"/>
      <w:autoSpaceDN w:val="0"/>
      <w:adjustRightInd w:val="0"/>
      <w:spacing w:after="0" w:line="240" w:lineRule="auto"/>
    </w:pPr>
    <w:rPr>
      <w:rFonts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3748">
      <w:bodyDiv w:val="1"/>
      <w:marLeft w:val="0"/>
      <w:marRight w:val="0"/>
      <w:marTop w:val="0"/>
      <w:marBottom w:val="0"/>
      <w:divBdr>
        <w:top w:val="none" w:sz="0" w:space="0" w:color="auto"/>
        <w:left w:val="none" w:sz="0" w:space="0" w:color="auto"/>
        <w:bottom w:val="none" w:sz="0" w:space="0" w:color="auto"/>
        <w:right w:val="none" w:sz="0" w:space="0" w:color="auto"/>
      </w:divBdr>
    </w:div>
    <w:div w:id="576939627">
      <w:bodyDiv w:val="1"/>
      <w:marLeft w:val="0"/>
      <w:marRight w:val="0"/>
      <w:marTop w:val="0"/>
      <w:marBottom w:val="0"/>
      <w:divBdr>
        <w:top w:val="none" w:sz="0" w:space="0" w:color="auto"/>
        <w:left w:val="none" w:sz="0" w:space="0" w:color="auto"/>
        <w:bottom w:val="none" w:sz="0" w:space="0" w:color="auto"/>
        <w:right w:val="none" w:sz="0" w:space="0" w:color="auto"/>
      </w:divBdr>
    </w:div>
    <w:div w:id="698580507">
      <w:bodyDiv w:val="1"/>
      <w:marLeft w:val="0"/>
      <w:marRight w:val="0"/>
      <w:marTop w:val="0"/>
      <w:marBottom w:val="0"/>
      <w:divBdr>
        <w:top w:val="none" w:sz="0" w:space="0" w:color="auto"/>
        <w:left w:val="none" w:sz="0" w:space="0" w:color="auto"/>
        <w:bottom w:val="none" w:sz="0" w:space="0" w:color="auto"/>
        <w:right w:val="none" w:sz="0" w:space="0" w:color="auto"/>
      </w:divBdr>
    </w:div>
    <w:div w:id="731123003">
      <w:bodyDiv w:val="1"/>
      <w:marLeft w:val="0"/>
      <w:marRight w:val="0"/>
      <w:marTop w:val="0"/>
      <w:marBottom w:val="0"/>
      <w:divBdr>
        <w:top w:val="none" w:sz="0" w:space="0" w:color="auto"/>
        <w:left w:val="none" w:sz="0" w:space="0" w:color="auto"/>
        <w:bottom w:val="none" w:sz="0" w:space="0" w:color="auto"/>
        <w:right w:val="none" w:sz="0" w:space="0" w:color="auto"/>
      </w:divBdr>
    </w:div>
    <w:div w:id="802578866">
      <w:bodyDiv w:val="1"/>
      <w:marLeft w:val="0"/>
      <w:marRight w:val="0"/>
      <w:marTop w:val="0"/>
      <w:marBottom w:val="0"/>
      <w:divBdr>
        <w:top w:val="none" w:sz="0" w:space="0" w:color="auto"/>
        <w:left w:val="none" w:sz="0" w:space="0" w:color="auto"/>
        <w:bottom w:val="none" w:sz="0" w:space="0" w:color="auto"/>
        <w:right w:val="none" w:sz="0" w:space="0" w:color="auto"/>
      </w:divBdr>
    </w:div>
    <w:div w:id="13462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be.ch/fr/situation/institution.html" TargetMode="External"/><Relationship Id="rId13" Type="http://schemas.openxmlformats.org/officeDocument/2006/relationships/hyperlink" Target="https://www.ivbe.ch/dam/jcr:8ebf666a-bf5a-4c68-863b-a42a81b4be81/Coaching%20durant%20une%20mesure%20d%60int%C3%A9gration.dotx" TargetMode="External"/><Relationship Id="rId18" Type="http://schemas.openxmlformats.org/officeDocument/2006/relationships/hyperlink" Target="https://www.ivbe.ch/dam/jcr:54972256-4bf1-4ad9-8c35-04f5a9ad93c4/Coaching%20pour%20maintien%20du%20post%20de%20travail.dotx" TargetMode="External"/><Relationship Id="rId26" Type="http://schemas.openxmlformats.org/officeDocument/2006/relationships/hyperlink" Target="https://www.ivbe.ch/dam/jcr:a2840eb2-f04d-4ce5-922a-9951fa9662da/Rapport%20sur%20le%20logement.dotx" TargetMode="External"/><Relationship Id="rId3" Type="http://schemas.openxmlformats.org/officeDocument/2006/relationships/styles" Target="styles.xml"/><Relationship Id="rId21" Type="http://schemas.openxmlformats.org/officeDocument/2006/relationships/hyperlink" Target="https://www.ivbe.ch/dam/jcr:36ed1ee0-ed42-4386-a8a1-afea08da5059/Z_Rapport%20de%20formation.dotx"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vbe.ch/dam/jcr:262c48d0-e29c-4923-a5b3-87edc58d5bba/Coaching%20pour%20recherche%20d%60emplois.dotx" TargetMode="External"/><Relationship Id="rId17" Type="http://schemas.openxmlformats.org/officeDocument/2006/relationships/hyperlink" Target="https://www.ivbe.ch/dam/jcr:9993eb04-0bac-45ce-8d42-70c5bfc73013/Coaching%20durant%20la%20p%C3%A9riode%20de%20mise%20au%20courant%20d%60un%20emploi%20fix.dotx" TargetMode="External"/><Relationship Id="rId25" Type="http://schemas.openxmlformats.org/officeDocument/2006/relationships/hyperlink" Target="https://www.ivbe.ch/dam/jcr:33c455cf-a57a-4195-9401-3c3d99b01637/7-Rapport%20du%20responsable%20du%20stage%20de%20d%C3%A9couvert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vbe.ch/dam/jcr:3ec30d2b-4537-4af8-906a-5b3018da18e9/Coaching%20durant%20un%20placement%20%C3%A0%20l%60essai.dotx" TargetMode="External"/><Relationship Id="rId20" Type="http://schemas.openxmlformats.org/officeDocument/2006/relationships/hyperlink" Target="https://www.ivbe.ch/dam/jcr:76b890d2-44d5-4d8b-8bfe-370838c403b4/1-Mesure%20de%20r%C3%A9insertion%20dans%20l%60institution.docx"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be.ch/dam/jcr:dd531e1f-1770-4da1-a564-4288de3ee5a9/Coaching%20pour%20recherche%20d%60une%20place%20temporaire.dotx" TargetMode="External"/><Relationship Id="rId24" Type="http://schemas.openxmlformats.org/officeDocument/2006/relationships/hyperlink" Target="https://www.ivbe.ch/dam/jcr:36326b5f-c7e0-4e2b-9985-726b14b37fe5/6-Questionnaire%20stage%20de%20d%C3%A9couverte_fakultativ.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vbe.ch/dam/jcr:6e222448-a794-488e-828e-99dd75180c52/Coaching%20durant%20une%20formation.dotx" TargetMode="External"/><Relationship Id="rId23" Type="http://schemas.openxmlformats.org/officeDocument/2006/relationships/hyperlink" Target="https://www.ivbe.ch/dam/jcr:b3b7396a-1c9d-4abd-bddf-dc32c2ca89e0/Z_Rapport%20de%20stage%20durant%20formation%20dans%20l%60institution.dotx" TargetMode="External"/><Relationship Id="rId28" Type="http://schemas.openxmlformats.org/officeDocument/2006/relationships/hyperlink" Target="mailto:kontraktmanagement@ivbe.ch" TargetMode="External"/><Relationship Id="rId10" Type="http://schemas.openxmlformats.org/officeDocument/2006/relationships/hyperlink" Target="https://www.ivbe.ch/dam/jcr:8bdd3486-d0d2-48a4-8bb4-3743cde8faf5/Coaching%20pour%20recherche%20de%20places%20d%60apprentissage.dotx" TargetMode="External"/><Relationship Id="rId19" Type="http://schemas.openxmlformats.org/officeDocument/2006/relationships/hyperlink" Target="https://www.ivbe.ch/dam/jcr:70ecf9b1-125a-4678-bb6e-735816a7dd33/11-Coaching%20pour%20le%20logement.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vbe.ch/dam/jcr:1bb1f5f9-0bb7-4f3a-9ff7-d02ace92d2ef/Coaching%20pour%20recherche%20et%20accompagnement%20de%20stages.dotx" TargetMode="External"/><Relationship Id="rId14" Type="http://schemas.openxmlformats.org/officeDocument/2006/relationships/hyperlink" Target="https://www.ivbe.ch/dam/jcr:82633d30-a94f-4c3f-83fb-2aa43a49a9de/6-Coaching%20pour%20la%20pr%C3%A9paration%20%C3%A0%20une%20formation.docx" TargetMode="External"/><Relationship Id="rId22" Type="http://schemas.openxmlformats.org/officeDocument/2006/relationships/hyperlink" Target="https://www.ivbe.ch/dam/jcr:15045bf2-7681-4c6a-aa5a-7849e22a3ea8/Z_Stage%20de%20d%C3%A9couverte%20dans%20l%60institution.dotx" TargetMode="External"/><Relationship Id="rId27" Type="http://schemas.openxmlformats.org/officeDocument/2006/relationships/hyperlink" Target="https://www.ivbe.ch/dam/jcr:63788f7d-6b2d-48d6-9a05-fed752b44071/memento_evaluation_performances.pdf"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85974F8234CBCB246741824022A3E"/>
        <w:category>
          <w:name w:val="Allgemein"/>
          <w:gallery w:val="placeholder"/>
        </w:category>
        <w:types>
          <w:type w:val="bbPlcHdr"/>
        </w:types>
        <w:behaviors>
          <w:behavior w:val="content"/>
        </w:behaviors>
        <w:guid w:val="{B6D29DD2-AC18-45CC-B955-8021E797236A}"/>
      </w:docPartPr>
      <w:docPartBody>
        <w:p>
          <w:pPr>
            <w:pStyle w:val="03A85974F8234CBCB246741824022A3E"/>
          </w:pPr>
          <w:r>
            <w:rPr>
              <w:rStyle w:val="Platzhalt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CFBD951EFBD424F9B0FD039A5789C4D">
    <w:name w:val="CCFBD951EFBD424F9B0FD039A5789C4D"/>
  </w:style>
  <w:style w:type="paragraph" w:customStyle="1" w:styleId="03A85974F8234CBCB246741824022A3E">
    <w:name w:val="03A85974F8234CBCB246741824022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176B-3811-4B92-AF58-1CDC6C03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12521</Characters>
  <Application>Microsoft Office Word</Application>
  <DocSecurity>0</DocSecurity>
  <Lines>104</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2024-02-21T10:11:00Z</dcterms:created>
  <dcterms:modified xsi:type="dcterms:W3CDTF">2024-03-01T09:12:00Z</dcterms:modified>
</cp:coreProperties>
</file>